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3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7.xml" ContentType="application/vnd.openxmlformats-officedocument.themeOverride+xml"/>
  <Override PartName="/word/charts/chart4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8.xml" ContentType="application/vnd.openxmlformats-officedocument.themeOverride+xml"/>
  <Override PartName="/word/charts/chart4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9.xml" ContentType="application/vnd.openxmlformats-officedocument.themeOverride+xml"/>
  <Override PartName="/word/charts/chart4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0.xml" ContentType="application/vnd.openxmlformats-officedocument.themeOverride+xml"/>
  <Override PartName="/word/charts/chart4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1.xml" ContentType="application/vnd.openxmlformats-officedocument.themeOverride+xml"/>
  <Override PartName="/word/charts/chart45.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C9421" w14:textId="34AE8F27" w:rsidR="00F86947" w:rsidRPr="006B14D5" w:rsidRDefault="00F05A99" w:rsidP="00E54DA3">
      <w:pPr>
        <w:pStyle w:val="Heading2"/>
        <w:numPr>
          <w:ilvl w:val="0"/>
          <w:numId w:val="8"/>
        </w:numPr>
        <w:spacing w:before="0"/>
        <w:ind w:left="426" w:hanging="426"/>
        <w:jc w:val="left"/>
        <w:rPr>
          <w:sz w:val="26"/>
          <w:szCs w:val="26"/>
        </w:rPr>
      </w:pPr>
      <w:bookmarkStart w:id="0" w:name="_Toc100315618"/>
      <w:bookmarkStart w:id="1" w:name="_Toc132204231"/>
      <w:r w:rsidRPr="006B14D5">
        <w:rPr>
          <w:sz w:val="26"/>
          <w:szCs w:val="26"/>
        </w:rPr>
        <w:t>Մ</w:t>
      </w:r>
      <w:r w:rsidRPr="00BD6799">
        <w:rPr>
          <w:sz w:val="26"/>
          <w:szCs w:val="26"/>
        </w:rPr>
        <w:t>ակրոտնտեսական զարգացումներ</w:t>
      </w:r>
      <w:bookmarkEnd w:id="0"/>
      <w:bookmarkEnd w:id="1"/>
    </w:p>
    <w:p w14:paraId="284B84D1" w14:textId="33F846E7" w:rsidR="00F86947" w:rsidRPr="000B54DE" w:rsidRDefault="00F86947" w:rsidP="00A71075">
      <w:pPr>
        <w:pStyle w:val="Heading3"/>
        <w:keepLines/>
        <w:numPr>
          <w:ilvl w:val="2"/>
          <w:numId w:val="10"/>
        </w:numPr>
        <w:spacing w:before="0" w:line="259" w:lineRule="auto"/>
        <w:ind w:left="567" w:hanging="567"/>
        <w:rPr>
          <w:rFonts w:eastAsiaTheme="majorEastAsia" w:cstheme="majorBidi"/>
          <w:noProof w:val="0"/>
          <w:szCs w:val="24"/>
          <w:lang w:val="en-US"/>
        </w:rPr>
      </w:pPr>
      <w:bookmarkStart w:id="2" w:name="_Toc100315619"/>
      <w:bookmarkStart w:id="3" w:name="_Toc132204232"/>
      <w:proofErr w:type="spellStart"/>
      <w:r w:rsidRPr="000B54DE">
        <w:rPr>
          <w:rFonts w:eastAsiaTheme="majorEastAsia" w:cstheme="majorBidi"/>
          <w:noProof w:val="0"/>
          <w:szCs w:val="24"/>
          <w:lang w:val="en-US"/>
        </w:rPr>
        <w:t>Արտաքին</w:t>
      </w:r>
      <w:proofErr w:type="spellEnd"/>
      <w:r w:rsidRPr="000B54DE">
        <w:rPr>
          <w:rFonts w:eastAsiaTheme="majorEastAsia" w:cstheme="majorBidi"/>
          <w:noProof w:val="0"/>
          <w:szCs w:val="24"/>
          <w:lang w:val="en-US"/>
        </w:rPr>
        <w:t xml:space="preserve"> </w:t>
      </w:r>
      <w:proofErr w:type="spellStart"/>
      <w:r w:rsidRPr="000B54DE">
        <w:rPr>
          <w:rFonts w:eastAsiaTheme="majorEastAsia" w:cstheme="majorBidi"/>
          <w:noProof w:val="0"/>
          <w:szCs w:val="24"/>
          <w:lang w:val="en-US"/>
        </w:rPr>
        <w:t>միջավայրի</w:t>
      </w:r>
      <w:proofErr w:type="spellEnd"/>
      <w:r w:rsidRPr="000B54DE">
        <w:rPr>
          <w:rFonts w:eastAsiaTheme="majorEastAsia" w:cstheme="majorBidi"/>
          <w:noProof w:val="0"/>
          <w:szCs w:val="24"/>
          <w:lang w:val="en-US"/>
        </w:rPr>
        <w:t xml:space="preserve"> </w:t>
      </w:r>
      <w:proofErr w:type="spellStart"/>
      <w:r w:rsidRPr="000B54DE">
        <w:rPr>
          <w:rFonts w:eastAsiaTheme="majorEastAsia" w:cstheme="majorBidi"/>
          <w:noProof w:val="0"/>
          <w:szCs w:val="24"/>
          <w:lang w:val="en-US"/>
        </w:rPr>
        <w:t>զարգացումներ</w:t>
      </w:r>
      <w:bookmarkEnd w:id="2"/>
      <w:bookmarkEnd w:id="3"/>
      <w:proofErr w:type="spellEnd"/>
    </w:p>
    <w:p w14:paraId="5B619774" w14:textId="533BCEEC" w:rsidR="00F04D21" w:rsidRPr="00345A1C" w:rsidRDefault="00F04D21" w:rsidP="00F04D21">
      <w:pPr>
        <w:spacing w:line="276" w:lineRule="auto"/>
        <w:ind w:firstLine="567"/>
        <w:jc w:val="both"/>
        <w:rPr>
          <w:rFonts w:ascii="GHEA Grapalat" w:hAnsi="GHEA Grapalat"/>
          <w:sz w:val="22"/>
          <w:szCs w:val="22"/>
        </w:rPr>
      </w:pPr>
      <w:bookmarkStart w:id="4" w:name="_Toc100315620"/>
      <w:bookmarkStart w:id="5" w:name="_Toc71532744"/>
      <w:bookmarkStart w:id="6" w:name="_Toc132204233"/>
      <w:r w:rsidRPr="00345A1C">
        <w:rPr>
          <w:rFonts w:ascii="GHEA Grapalat" w:eastAsia="GHEA Grapalat" w:hAnsi="GHEA Grapalat" w:cs="GHEA Grapalat"/>
          <w:b/>
          <w:i/>
          <w:sz w:val="22"/>
          <w:szCs w:val="22"/>
        </w:rPr>
        <w:t>Տնտեսական զարգացումներ</w:t>
      </w:r>
      <w:r w:rsidRPr="00345A1C">
        <w:rPr>
          <w:rFonts w:ascii="GHEA Grapalat" w:hAnsi="GHEA Grapalat"/>
          <w:b/>
          <w:i/>
          <w:sz w:val="22"/>
          <w:szCs w:val="22"/>
          <w:lang w:val="af-ZA"/>
        </w:rPr>
        <w:t>:</w:t>
      </w:r>
      <w:r w:rsidRPr="00345A1C">
        <w:rPr>
          <w:rFonts w:ascii="GHEA Grapalat" w:hAnsi="GHEA Grapalat"/>
          <w:sz w:val="22"/>
          <w:szCs w:val="22"/>
          <w:lang w:val="af-ZA"/>
        </w:rPr>
        <w:t xml:space="preserve"> </w:t>
      </w:r>
      <w:bookmarkStart w:id="7" w:name="_Toc102746160"/>
      <w:r w:rsidRPr="00345A1C">
        <w:rPr>
          <w:rFonts w:ascii="GHEA Grapalat" w:hAnsi="GHEA Grapalat"/>
          <w:sz w:val="22"/>
          <w:szCs w:val="22"/>
          <w:lang w:val="de-AT"/>
        </w:rPr>
        <w:t>2024</w:t>
      </w:r>
      <w:r w:rsidR="00CA6DDB">
        <w:rPr>
          <w:rFonts w:ascii="GHEA Grapalat" w:hAnsi="GHEA Grapalat"/>
          <w:sz w:val="22"/>
          <w:szCs w:val="22"/>
        </w:rPr>
        <w:t xml:space="preserve">թ. </w:t>
      </w:r>
      <w:r w:rsidRPr="00345A1C">
        <w:rPr>
          <w:rFonts w:ascii="GHEA Grapalat" w:hAnsi="GHEA Grapalat"/>
          <w:sz w:val="22"/>
          <w:szCs w:val="22"/>
        </w:rPr>
        <w:t>համաշխարհային տնտեսությունում և ՀՀ հիմնական գործընկեր երկրներում տնտեսական աճը շարունակել է մնալ դրական տիրույթում</w:t>
      </w:r>
      <w:r w:rsidRPr="00345A1C">
        <w:rPr>
          <w:rFonts w:ascii="GHEA Grapalat" w:hAnsi="GHEA Grapalat"/>
          <w:sz w:val="22"/>
          <w:szCs w:val="22"/>
          <w:lang w:val="de-AT"/>
        </w:rPr>
        <w:t xml:space="preserve">` պայմանավորված </w:t>
      </w:r>
      <w:r w:rsidR="005E14A6" w:rsidRPr="00345A1C">
        <w:rPr>
          <w:rFonts w:ascii="GHEA Grapalat" w:hAnsi="GHEA Grapalat"/>
          <w:sz w:val="22"/>
          <w:szCs w:val="22"/>
          <w:lang w:val="de-AT"/>
        </w:rPr>
        <w:t xml:space="preserve">սպառողական </w:t>
      </w:r>
      <w:r w:rsidRPr="00345A1C">
        <w:rPr>
          <w:rFonts w:ascii="GHEA Grapalat" w:hAnsi="GHEA Grapalat"/>
          <w:sz w:val="22"/>
          <w:szCs w:val="22"/>
          <w:lang w:val="de-AT"/>
        </w:rPr>
        <w:t>կայուն պահանջարկով, գնաճի թուլաց</w:t>
      </w:r>
      <w:r w:rsidRPr="00345A1C">
        <w:rPr>
          <w:rFonts w:ascii="GHEA Grapalat" w:hAnsi="GHEA Grapalat"/>
          <w:sz w:val="22"/>
          <w:szCs w:val="22"/>
        </w:rPr>
        <w:t>մամբ</w:t>
      </w:r>
      <w:r w:rsidRPr="00345A1C">
        <w:rPr>
          <w:rFonts w:ascii="GHEA Grapalat" w:hAnsi="GHEA Grapalat"/>
          <w:sz w:val="22"/>
          <w:szCs w:val="22"/>
          <w:lang w:val="de-AT"/>
        </w:rPr>
        <w:t xml:space="preserve"> և խոշոր տնտեսություններում շարունակվող հարկաբյուջետային և դրամավարկային</w:t>
      </w:r>
      <w:r w:rsidR="005E14A6" w:rsidRPr="00345A1C">
        <w:rPr>
          <w:rFonts w:ascii="GHEA Grapalat" w:hAnsi="GHEA Grapalat"/>
          <w:sz w:val="22"/>
          <w:szCs w:val="22"/>
          <w:lang w:val="de-AT"/>
        </w:rPr>
        <w:t xml:space="preserve"> քաղաքականությունների</w:t>
      </w:r>
      <w:r w:rsidRPr="00345A1C">
        <w:rPr>
          <w:rFonts w:ascii="GHEA Grapalat" w:hAnsi="GHEA Grapalat"/>
          <w:sz w:val="22"/>
          <w:szCs w:val="22"/>
          <w:lang w:val="de-AT"/>
        </w:rPr>
        <w:t xml:space="preserve"> ճշգրտումներով</w:t>
      </w:r>
      <w:r w:rsidRPr="00345A1C">
        <w:rPr>
          <w:rFonts w:ascii="GHEA Grapalat" w:hAnsi="GHEA Grapalat"/>
          <w:sz w:val="22"/>
          <w:szCs w:val="22"/>
        </w:rPr>
        <w:t xml:space="preserve">։ </w:t>
      </w:r>
      <w:r w:rsidRPr="00345A1C">
        <w:rPr>
          <w:rFonts w:ascii="GHEA Grapalat" w:hAnsi="GHEA Grapalat"/>
          <w:sz w:val="22"/>
          <w:szCs w:val="22"/>
          <w:lang w:val="de-AT"/>
        </w:rPr>
        <w:t>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համաշխարհային տնտեսական աճը կազմել է </w:t>
      </w:r>
      <w:r w:rsidRPr="00345A1C">
        <w:rPr>
          <w:rFonts w:ascii="GHEA Grapalat" w:hAnsi="GHEA Grapalat"/>
          <w:sz w:val="22"/>
          <w:szCs w:val="22"/>
          <w:lang w:val="de-AT"/>
        </w:rPr>
        <w:t xml:space="preserve">3.2%` </w:t>
      </w:r>
      <w:r w:rsidRPr="00345A1C">
        <w:rPr>
          <w:rFonts w:ascii="GHEA Grapalat" w:hAnsi="GHEA Grapalat"/>
          <w:sz w:val="22"/>
          <w:szCs w:val="22"/>
        </w:rPr>
        <w:t>նախորդ տարվա</w:t>
      </w:r>
      <w:r w:rsidRPr="00345A1C">
        <w:rPr>
          <w:rFonts w:ascii="GHEA Grapalat" w:hAnsi="GHEA Grapalat"/>
          <w:sz w:val="22"/>
          <w:szCs w:val="22"/>
          <w:lang w:val="de-AT"/>
        </w:rPr>
        <w:t xml:space="preserve"> 3.3%</w:t>
      </w:r>
      <w:r w:rsidRPr="00345A1C">
        <w:rPr>
          <w:rFonts w:ascii="GHEA Grapalat" w:hAnsi="GHEA Grapalat"/>
          <w:sz w:val="22"/>
          <w:szCs w:val="22"/>
        </w:rPr>
        <w:t xml:space="preserve">-ի դիմաց։ </w:t>
      </w:r>
      <w:r w:rsidR="00CA6DDB">
        <w:rPr>
          <w:rFonts w:ascii="GHEA Grapalat" w:hAnsi="GHEA Grapalat"/>
          <w:sz w:val="22"/>
          <w:szCs w:val="22"/>
          <w:lang w:val="af-ZA"/>
        </w:rPr>
        <w:t>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ԱՄՆ</w:t>
      </w:r>
      <w:r w:rsidRPr="00345A1C">
        <w:rPr>
          <w:rFonts w:ascii="GHEA Grapalat" w:hAnsi="GHEA Grapalat"/>
          <w:sz w:val="22"/>
          <w:szCs w:val="22"/>
          <w:lang w:val="af-ZA"/>
        </w:rPr>
        <w:t xml:space="preserve"> </w:t>
      </w:r>
      <w:r w:rsidRPr="00345A1C">
        <w:rPr>
          <w:rFonts w:ascii="GHEA Grapalat" w:hAnsi="GHEA Grapalat"/>
          <w:sz w:val="22"/>
          <w:szCs w:val="22"/>
        </w:rPr>
        <w:t>տնտեսությունը</w:t>
      </w:r>
      <w:r w:rsidRPr="00345A1C">
        <w:rPr>
          <w:rFonts w:ascii="GHEA Grapalat" w:hAnsi="GHEA Grapalat"/>
          <w:sz w:val="22"/>
          <w:szCs w:val="22"/>
          <w:lang w:val="af-ZA"/>
        </w:rPr>
        <w:t xml:space="preserve"> </w:t>
      </w:r>
      <w:r w:rsidRPr="00345A1C">
        <w:rPr>
          <w:rFonts w:ascii="GHEA Grapalat" w:hAnsi="GHEA Grapalat"/>
          <w:sz w:val="22"/>
          <w:szCs w:val="22"/>
        </w:rPr>
        <w:t>գրանցել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2.</w:t>
      </w:r>
      <w:r w:rsidRPr="00345A1C">
        <w:rPr>
          <w:rFonts w:ascii="GHEA Grapalat" w:hAnsi="GHEA Grapalat"/>
          <w:sz w:val="22"/>
          <w:szCs w:val="22"/>
        </w:rPr>
        <w:t>8</w:t>
      </w:r>
      <w:r w:rsidRPr="00345A1C">
        <w:rPr>
          <w:rFonts w:ascii="GHEA Grapalat" w:hAnsi="GHEA Grapalat"/>
          <w:sz w:val="22"/>
          <w:szCs w:val="22"/>
          <w:lang w:val="af-ZA"/>
        </w:rPr>
        <w:t xml:space="preserve">% </w:t>
      </w:r>
      <w:r w:rsidRPr="00345A1C">
        <w:rPr>
          <w:rFonts w:ascii="GHEA Grapalat" w:hAnsi="GHEA Grapalat"/>
          <w:sz w:val="22"/>
          <w:szCs w:val="22"/>
        </w:rPr>
        <w:t>աճ</w:t>
      </w:r>
      <w:r w:rsidRPr="00345A1C">
        <w:rPr>
          <w:rFonts w:ascii="GHEA Grapalat" w:hAnsi="GHEA Grapalat"/>
          <w:sz w:val="22"/>
          <w:szCs w:val="22"/>
          <w:vertAlign w:val="superscript"/>
        </w:rPr>
        <w:footnoteReference w:id="1"/>
      </w:r>
      <w:r w:rsidRPr="00345A1C">
        <w:rPr>
          <w:rFonts w:ascii="GHEA Grapalat" w:hAnsi="GHEA Grapalat"/>
          <w:sz w:val="22"/>
          <w:szCs w:val="22"/>
          <w:lang w:val="af-ZA"/>
        </w:rPr>
        <w:t xml:space="preserve"> </w:t>
      </w:r>
      <w:r w:rsidRPr="00345A1C">
        <w:rPr>
          <w:rFonts w:ascii="GHEA Grapalat" w:hAnsi="GHEA Grapalat"/>
          <w:sz w:val="22"/>
          <w:szCs w:val="22"/>
        </w:rPr>
        <w:t>նախորդ</w:t>
      </w:r>
      <w:r w:rsidRPr="00345A1C">
        <w:rPr>
          <w:rFonts w:ascii="GHEA Grapalat" w:hAnsi="GHEA Grapalat"/>
          <w:sz w:val="22"/>
          <w:szCs w:val="22"/>
          <w:lang w:val="af-ZA"/>
        </w:rPr>
        <w:t xml:space="preserve"> </w:t>
      </w:r>
      <w:r w:rsidRPr="00345A1C">
        <w:rPr>
          <w:rFonts w:ascii="GHEA Grapalat" w:hAnsi="GHEA Grapalat"/>
          <w:sz w:val="22"/>
          <w:szCs w:val="22"/>
        </w:rPr>
        <w:t>տարվա</w:t>
      </w:r>
      <w:r w:rsidRPr="00345A1C">
        <w:rPr>
          <w:rFonts w:ascii="GHEA Grapalat" w:hAnsi="GHEA Grapalat"/>
          <w:sz w:val="22"/>
          <w:szCs w:val="22"/>
          <w:lang w:val="af-ZA"/>
        </w:rPr>
        <w:t xml:space="preserve"> 2.9% </w:t>
      </w:r>
      <w:r w:rsidRPr="00345A1C">
        <w:rPr>
          <w:rFonts w:ascii="GHEA Grapalat" w:hAnsi="GHEA Grapalat"/>
          <w:sz w:val="22"/>
          <w:szCs w:val="22"/>
        </w:rPr>
        <w:t>աճի</w:t>
      </w:r>
      <w:r w:rsidRPr="00345A1C">
        <w:rPr>
          <w:rFonts w:ascii="GHEA Grapalat" w:hAnsi="GHEA Grapalat"/>
          <w:sz w:val="22"/>
          <w:szCs w:val="22"/>
          <w:lang w:val="af-ZA"/>
        </w:rPr>
        <w:t xml:space="preserve"> </w:t>
      </w:r>
      <w:r w:rsidRPr="00345A1C">
        <w:rPr>
          <w:rFonts w:ascii="GHEA Grapalat" w:hAnsi="GHEA Grapalat"/>
          <w:sz w:val="22"/>
          <w:szCs w:val="22"/>
        </w:rPr>
        <w:t>դիմաց</w:t>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sidRPr="00345A1C">
        <w:rPr>
          <w:rFonts w:ascii="GHEA Grapalat" w:hAnsi="GHEA Grapalat"/>
          <w:sz w:val="22"/>
          <w:szCs w:val="22"/>
        </w:rPr>
        <w:t>2</w:t>
      </w:r>
      <w:r w:rsidRPr="00345A1C">
        <w:rPr>
          <w:rFonts w:ascii="GHEA Grapalat" w:hAnsi="GHEA Grapalat"/>
          <w:sz w:val="22"/>
          <w:szCs w:val="22"/>
          <w:lang w:val="af-ZA"/>
        </w:rPr>
        <w:t>.</w:t>
      </w:r>
      <w:r w:rsidRPr="00345A1C">
        <w:rPr>
          <w:rFonts w:ascii="GHEA Grapalat" w:hAnsi="GHEA Grapalat"/>
          <w:sz w:val="22"/>
          <w:szCs w:val="22"/>
        </w:rPr>
        <w:t>9</w:t>
      </w:r>
      <w:r w:rsidRPr="00345A1C">
        <w:rPr>
          <w:rFonts w:ascii="GHEA Grapalat" w:hAnsi="GHEA Grapalat"/>
          <w:sz w:val="22"/>
          <w:szCs w:val="22"/>
          <w:lang w:val="af-ZA"/>
        </w:rPr>
        <w:t xml:space="preserve">%, </w:t>
      </w:r>
      <w:r w:rsidRPr="00345A1C">
        <w:rPr>
          <w:rFonts w:ascii="GHEA Grapalat" w:hAnsi="GHEA Grapalat"/>
          <w:sz w:val="22"/>
          <w:szCs w:val="22"/>
        </w:rPr>
        <w:t>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3</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2.</w:t>
      </w:r>
      <w:r w:rsidRPr="00345A1C">
        <w:rPr>
          <w:rFonts w:ascii="GHEA Grapalat" w:hAnsi="GHEA Grapalat"/>
          <w:sz w:val="22"/>
          <w:szCs w:val="22"/>
        </w:rPr>
        <w:t>7</w:t>
      </w:r>
      <w:r w:rsidRPr="00345A1C">
        <w:rPr>
          <w:rFonts w:ascii="GHEA Grapalat" w:hAnsi="GHEA Grapalat"/>
          <w:sz w:val="22"/>
          <w:szCs w:val="22"/>
          <w:lang w:val="af-ZA"/>
        </w:rPr>
        <w:t xml:space="preserve">% և </w:t>
      </w:r>
      <w:r w:rsidRPr="00345A1C">
        <w:rPr>
          <w:rFonts w:ascii="GHEA Grapalat" w:hAnsi="GHEA Grapalat"/>
          <w:sz w:val="22"/>
          <w:szCs w:val="22"/>
        </w:rPr>
        <w:t>չորրորդ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2.</w:t>
      </w:r>
      <w:r w:rsidRPr="00345A1C">
        <w:rPr>
          <w:rFonts w:ascii="GHEA Grapalat" w:hAnsi="GHEA Grapalat"/>
          <w:sz w:val="22"/>
          <w:szCs w:val="22"/>
        </w:rPr>
        <w:t>5</w:t>
      </w:r>
      <w:r w:rsidRPr="00345A1C">
        <w:rPr>
          <w:rFonts w:ascii="GHEA Grapalat" w:hAnsi="GHEA Grapalat"/>
          <w:sz w:val="22"/>
          <w:szCs w:val="22"/>
          <w:lang w:val="af-ZA"/>
        </w:rPr>
        <w:t xml:space="preserve">%: </w:t>
      </w:r>
      <w:r w:rsidRPr="00345A1C">
        <w:rPr>
          <w:rFonts w:ascii="GHEA Grapalat" w:hAnsi="GHEA Grapalat"/>
          <w:sz w:val="22"/>
          <w:szCs w:val="22"/>
        </w:rPr>
        <w:t>Աճ</w:t>
      </w:r>
      <w:r w:rsidR="00E761A1">
        <w:rPr>
          <w:rFonts w:ascii="GHEA Grapalat" w:hAnsi="GHEA Grapalat"/>
          <w:sz w:val="22"/>
          <w:szCs w:val="22"/>
          <w:lang w:val="en-US"/>
        </w:rPr>
        <w:t>ը</w:t>
      </w:r>
      <w:r w:rsidRPr="00345A1C">
        <w:rPr>
          <w:rFonts w:ascii="GHEA Grapalat" w:hAnsi="GHEA Grapalat"/>
          <w:sz w:val="22"/>
          <w:szCs w:val="22"/>
          <w:lang w:val="af-ZA"/>
        </w:rPr>
        <w:t xml:space="preserve"> </w:t>
      </w:r>
      <w:r w:rsidRPr="00345A1C">
        <w:rPr>
          <w:rFonts w:ascii="GHEA Grapalat" w:hAnsi="GHEA Grapalat"/>
          <w:sz w:val="22"/>
          <w:szCs w:val="22"/>
        </w:rPr>
        <w:t>պայմանավորող</w:t>
      </w:r>
      <w:r w:rsidR="005E14A6" w:rsidRPr="00345A1C">
        <w:rPr>
          <w:rFonts w:ascii="GHEA Grapalat" w:hAnsi="GHEA Grapalat"/>
          <w:sz w:val="22"/>
          <w:szCs w:val="22"/>
        </w:rPr>
        <w:t xml:space="preserve"> հիմնական</w:t>
      </w:r>
      <w:r w:rsidRPr="00345A1C">
        <w:rPr>
          <w:rFonts w:ascii="GHEA Grapalat" w:hAnsi="GHEA Grapalat"/>
          <w:sz w:val="22"/>
          <w:szCs w:val="22"/>
          <w:lang w:val="af-ZA"/>
        </w:rPr>
        <w:t xml:space="preserve"> </w:t>
      </w:r>
      <w:r w:rsidRPr="00345A1C">
        <w:rPr>
          <w:rFonts w:ascii="GHEA Grapalat" w:hAnsi="GHEA Grapalat"/>
          <w:sz w:val="22"/>
          <w:szCs w:val="22"/>
        </w:rPr>
        <w:t>գործոններն</w:t>
      </w:r>
      <w:r w:rsidRPr="00345A1C">
        <w:rPr>
          <w:rFonts w:ascii="GHEA Grapalat" w:hAnsi="GHEA Grapalat"/>
          <w:sz w:val="22"/>
          <w:szCs w:val="22"/>
          <w:lang w:val="af-ZA"/>
        </w:rPr>
        <w:t xml:space="preserve"> </w:t>
      </w:r>
      <w:r w:rsidRPr="00345A1C">
        <w:rPr>
          <w:rFonts w:ascii="GHEA Grapalat" w:hAnsi="GHEA Grapalat"/>
          <w:sz w:val="22"/>
          <w:szCs w:val="22"/>
        </w:rPr>
        <w:t>են</w:t>
      </w:r>
      <w:r w:rsidRPr="00345A1C">
        <w:rPr>
          <w:rFonts w:ascii="GHEA Grapalat" w:hAnsi="GHEA Grapalat"/>
          <w:sz w:val="22"/>
          <w:szCs w:val="22"/>
          <w:lang w:val="af-ZA"/>
        </w:rPr>
        <w:t xml:space="preserve"> </w:t>
      </w:r>
      <w:r w:rsidRPr="00345A1C">
        <w:rPr>
          <w:rFonts w:ascii="GHEA Grapalat" w:hAnsi="GHEA Grapalat"/>
          <w:sz w:val="22"/>
          <w:szCs w:val="22"/>
        </w:rPr>
        <w:t>եղել</w:t>
      </w:r>
      <w:r w:rsidRPr="00345A1C">
        <w:rPr>
          <w:rFonts w:ascii="GHEA Grapalat" w:hAnsi="GHEA Grapalat"/>
          <w:sz w:val="22"/>
          <w:szCs w:val="22"/>
          <w:lang w:val="af-ZA"/>
        </w:rPr>
        <w:t xml:space="preserve">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սպառման</w:t>
      </w:r>
      <w:r w:rsidRPr="00345A1C">
        <w:rPr>
          <w:rFonts w:ascii="GHEA Grapalat" w:hAnsi="GHEA Grapalat"/>
          <w:sz w:val="22"/>
          <w:szCs w:val="22"/>
          <w:lang w:val="af-ZA"/>
        </w:rPr>
        <w:t xml:space="preserve"> և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ներդրումների</w:t>
      </w:r>
      <w:r w:rsidRPr="00345A1C">
        <w:rPr>
          <w:rFonts w:ascii="GHEA Grapalat" w:hAnsi="GHEA Grapalat"/>
          <w:sz w:val="22"/>
          <w:szCs w:val="22"/>
          <w:lang w:val="af-ZA"/>
        </w:rPr>
        <w:t xml:space="preserve"> </w:t>
      </w:r>
      <w:r w:rsidRPr="00345A1C">
        <w:rPr>
          <w:rFonts w:ascii="GHEA Grapalat" w:hAnsi="GHEA Grapalat"/>
          <w:sz w:val="22"/>
          <w:szCs w:val="22"/>
        </w:rPr>
        <w:t>աճ</w:t>
      </w:r>
      <w:r w:rsidR="005E14A6" w:rsidRPr="00345A1C">
        <w:rPr>
          <w:rFonts w:ascii="GHEA Grapalat" w:hAnsi="GHEA Grapalat"/>
          <w:sz w:val="22"/>
          <w:szCs w:val="22"/>
        </w:rPr>
        <w:t>երը</w:t>
      </w:r>
      <w:r w:rsidRPr="00345A1C">
        <w:rPr>
          <w:rFonts w:ascii="GHEA Grapalat" w:hAnsi="GHEA Grapalat"/>
          <w:sz w:val="22"/>
          <w:szCs w:val="22"/>
          <w:lang w:val="af-ZA"/>
        </w:rPr>
        <w:t xml:space="preserve">, </w:t>
      </w:r>
      <w:r w:rsidRPr="00345A1C">
        <w:rPr>
          <w:rFonts w:ascii="GHEA Grapalat" w:hAnsi="GHEA Grapalat"/>
          <w:sz w:val="22"/>
          <w:szCs w:val="22"/>
        </w:rPr>
        <w:t>ինչպես</w:t>
      </w:r>
      <w:r w:rsidRPr="00345A1C">
        <w:rPr>
          <w:rFonts w:ascii="GHEA Grapalat" w:hAnsi="GHEA Grapalat"/>
          <w:sz w:val="22"/>
          <w:szCs w:val="22"/>
          <w:lang w:val="af-ZA"/>
        </w:rPr>
        <w:t xml:space="preserve"> </w:t>
      </w:r>
      <w:r w:rsidRPr="00345A1C">
        <w:rPr>
          <w:rFonts w:ascii="GHEA Grapalat" w:hAnsi="GHEA Grapalat"/>
          <w:sz w:val="22"/>
          <w:szCs w:val="22"/>
        </w:rPr>
        <w:t>նաև</w:t>
      </w:r>
      <w:r w:rsidRPr="00345A1C">
        <w:rPr>
          <w:rFonts w:ascii="GHEA Grapalat" w:hAnsi="GHEA Grapalat"/>
          <w:sz w:val="22"/>
          <w:szCs w:val="22"/>
          <w:lang w:val="af-ZA"/>
        </w:rPr>
        <w:t xml:space="preserve"> </w:t>
      </w:r>
      <w:r w:rsidRPr="00345A1C">
        <w:rPr>
          <w:rFonts w:ascii="GHEA Grapalat" w:hAnsi="GHEA Grapalat"/>
          <w:sz w:val="22"/>
          <w:szCs w:val="22"/>
        </w:rPr>
        <w:t>հարկաբյուջետային</w:t>
      </w:r>
      <w:r w:rsidRPr="00345A1C">
        <w:rPr>
          <w:rFonts w:ascii="GHEA Grapalat" w:hAnsi="GHEA Grapalat"/>
          <w:sz w:val="22"/>
          <w:szCs w:val="22"/>
          <w:lang w:val="af-ZA"/>
        </w:rPr>
        <w:t xml:space="preserve"> </w:t>
      </w:r>
      <w:r w:rsidRPr="00345A1C">
        <w:rPr>
          <w:rFonts w:ascii="GHEA Grapalat" w:hAnsi="GHEA Grapalat"/>
          <w:sz w:val="22"/>
          <w:szCs w:val="22"/>
        </w:rPr>
        <w:t>քաղաքականության</w:t>
      </w:r>
      <w:r w:rsidRPr="00345A1C">
        <w:rPr>
          <w:rFonts w:ascii="GHEA Grapalat" w:hAnsi="GHEA Grapalat"/>
          <w:sz w:val="22"/>
          <w:szCs w:val="22"/>
          <w:lang w:val="af-ZA"/>
        </w:rPr>
        <w:t xml:space="preserve"> </w:t>
      </w:r>
      <w:r w:rsidRPr="00345A1C">
        <w:rPr>
          <w:rFonts w:ascii="GHEA Grapalat" w:hAnsi="GHEA Grapalat"/>
          <w:sz w:val="22"/>
          <w:szCs w:val="22"/>
        </w:rPr>
        <w:t>խթանող</w:t>
      </w:r>
      <w:r w:rsidRPr="00345A1C">
        <w:rPr>
          <w:rFonts w:ascii="GHEA Grapalat" w:hAnsi="GHEA Grapalat"/>
          <w:sz w:val="22"/>
          <w:szCs w:val="22"/>
          <w:lang w:val="af-ZA"/>
        </w:rPr>
        <w:t xml:space="preserve"> </w:t>
      </w:r>
      <w:r w:rsidRPr="00345A1C">
        <w:rPr>
          <w:rFonts w:ascii="GHEA Grapalat" w:hAnsi="GHEA Grapalat"/>
          <w:sz w:val="22"/>
          <w:szCs w:val="22"/>
        </w:rPr>
        <w:t>դիրք</w:t>
      </w:r>
      <w:r w:rsidR="005E14A6" w:rsidRPr="00345A1C">
        <w:rPr>
          <w:rFonts w:ascii="GHEA Grapalat" w:hAnsi="GHEA Grapalat"/>
          <w:sz w:val="22"/>
          <w:szCs w:val="22"/>
        </w:rPr>
        <w:t>ը</w:t>
      </w:r>
      <w:r w:rsidRPr="00345A1C">
        <w:rPr>
          <w:rFonts w:ascii="GHEA Grapalat" w:hAnsi="GHEA Grapalat"/>
          <w:sz w:val="22"/>
          <w:szCs w:val="22"/>
          <w:lang w:val="af-ZA"/>
        </w:rPr>
        <w:t>:</w:t>
      </w:r>
      <w:r w:rsidRPr="00345A1C">
        <w:rPr>
          <w:rFonts w:ascii="GHEA Grapalat" w:hAnsi="GHEA Grapalat"/>
          <w:sz w:val="22"/>
          <w:szCs w:val="22"/>
        </w:rPr>
        <w:t xml:space="preserve"> </w:t>
      </w:r>
    </w:p>
    <w:p w14:paraId="49FC3181" w14:textId="5923E416" w:rsidR="00F04D21" w:rsidRPr="00345A1C" w:rsidRDefault="00F04D21" w:rsidP="00F04D21">
      <w:pPr>
        <w:tabs>
          <w:tab w:val="left" w:pos="2835"/>
        </w:tabs>
        <w:spacing w:line="276" w:lineRule="auto"/>
        <w:ind w:firstLine="567"/>
        <w:jc w:val="both"/>
        <w:rPr>
          <w:rFonts w:ascii="GHEA Grapalat" w:hAnsi="GHEA Grapalat"/>
          <w:sz w:val="22"/>
          <w:szCs w:val="22"/>
        </w:rPr>
      </w:pPr>
      <w:r w:rsidRPr="00345A1C">
        <w:rPr>
          <w:rFonts w:ascii="GHEA Grapalat" w:hAnsi="GHEA Grapalat"/>
          <w:sz w:val="22"/>
          <w:szCs w:val="22"/>
        </w:rPr>
        <w:t>Եվրագոտու</w:t>
      </w:r>
      <w:r w:rsidRPr="00345A1C">
        <w:rPr>
          <w:rFonts w:ascii="GHEA Grapalat" w:hAnsi="GHEA Grapalat"/>
          <w:sz w:val="22"/>
          <w:szCs w:val="22"/>
          <w:lang w:val="af-ZA"/>
        </w:rPr>
        <w:t xml:space="preserve"> </w:t>
      </w:r>
      <w:r w:rsidRPr="00345A1C">
        <w:rPr>
          <w:rFonts w:ascii="GHEA Grapalat" w:hAnsi="GHEA Grapalat"/>
          <w:sz w:val="22"/>
          <w:szCs w:val="22"/>
        </w:rPr>
        <w:t>տնտեսությունն</w:t>
      </w:r>
      <w:r w:rsidRPr="00345A1C">
        <w:rPr>
          <w:rFonts w:ascii="GHEA Grapalat" w:hAnsi="GHEA Grapalat"/>
          <w:sz w:val="22"/>
          <w:szCs w:val="22"/>
          <w:lang w:val="af-ZA"/>
        </w:rPr>
        <w:t xml:space="preserve"> </w:t>
      </w:r>
      <w:r w:rsidRPr="00345A1C">
        <w:rPr>
          <w:rFonts w:ascii="GHEA Grapalat" w:hAnsi="GHEA Grapalat"/>
          <w:sz w:val="22"/>
          <w:szCs w:val="22"/>
        </w:rPr>
        <w:t>աճել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0.</w:t>
      </w:r>
      <w:r w:rsidRPr="00345A1C">
        <w:rPr>
          <w:rFonts w:ascii="GHEA Grapalat" w:hAnsi="GHEA Grapalat"/>
          <w:sz w:val="22"/>
          <w:szCs w:val="22"/>
        </w:rPr>
        <w:t>9</w:t>
      </w:r>
      <w:r w:rsidRPr="00345A1C">
        <w:rPr>
          <w:rFonts w:ascii="GHEA Grapalat" w:hAnsi="GHEA Grapalat"/>
          <w:sz w:val="22"/>
          <w:szCs w:val="22"/>
          <w:lang w:val="af-ZA"/>
        </w:rPr>
        <w:t>%</w:t>
      </w:r>
      <w:r w:rsidRPr="00345A1C">
        <w:rPr>
          <w:rFonts w:ascii="GHEA Grapalat" w:hAnsi="GHEA Grapalat"/>
          <w:sz w:val="22"/>
          <w:szCs w:val="22"/>
          <w:lang w:val="af-ZA"/>
        </w:rPr>
        <w:noBreakHyphen/>
      </w:r>
      <w:r w:rsidRPr="00345A1C">
        <w:rPr>
          <w:rFonts w:ascii="GHEA Grapalat" w:hAnsi="GHEA Grapalat"/>
          <w:sz w:val="22"/>
          <w:szCs w:val="22"/>
        </w:rPr>
        <w:t>ով</w:t>
      </w:r>
      <w:r w:rsidRPr="00345A1C">
        <w:rPr>
          <w:rFonts w:ascii="GHEA Grapalat" w:hAnsi="GHEA Grapalat"/>
          <w:sz w:val="22"/>
          <w:szCs w:val="22"/>
          <w:vertAlign w:val="superscript"/>
        </w:rPr>
        <w:footnoteReference w:id="2"/>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 և 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տնտեսական</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0.</w:t>
      </w:r>
      <w:r w:rsidRPr="00345A1C">
        <w:rPr>
          <w:rFonts w:ascii="GHEA Grapalat" w:hAnsi="GHEA Grapalat"/>
          <w:sz w:val="22"/>
          <w:szCs w:val="22"/>
        </w:rPr>
        <w:t>5</w:t>
      </w:r>
      <w:r w:rsidRPr="00345A1C">
        <w:rPr>
          <w:rFonts w:ascii="GHEA Grapalat" w:hAnsi="GHEA Grapalat"/>
          <w:sz w:val="22"/>
          <w:szCs w:val="22"/>
          <w:lang w:val="af-ZA"/>
        </w:rPr>
        <w:t xml:space="preserve">%, </w:t>
      </w:r>
      <w:r w:rsidRPr="00345A1C">
        <w:rPr>
          <w:rFonts w:ascii="GHEA Grapalat" w:hAnsi="GHEA Grapalat"/>
          <w:sz w:val="22"/>
          <w:szCs w:val="22"/>
        </w:rPr>
        <w:t>իսկ</w:t>
      </w:r>
      <w:r w:rsidRPr="00345A1C">
        <w:rPr>
          <w:rFonts w:ascii="GHEA Grapalat" w:hAnsi="GHEA Grapalat"/>
          <w:sz w:val="22"/>
          <w:szCs w:val="22"/>
          <w:lang w:val="af-ZA"/>
        </w:rPr>
        <w:t xml:space="preserve"> </w:t>
      </w:r>
      <w:r w:rsidRPr="00345A1C">
        <w:rPr>
          <w:rFonts w:ascii="GHEA Grapalat" w:hAnsi="GHEA Grapalat"/>
          <w:sz w:val="22"/>
          <w:szCs w:val="22"/>
        </w:rPr>
        <w:t>հաջորդ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աստիճանաբար</w:t>
      </w:r>
      <w:r w:rsidRPr="00345A1C">
        <w:rPr>
          <w:rFonts w:ascii="GHEA Grapalat" w:hAnsi="GHEA Grapalat"/>
          <w:sz w:val="22"/>
          <w:szCs w:val="22"/>
          <w:lang w:val="af-ZA"/>
        </w:rPr>
        <w:t xml:space="preserve"> </w:t>
      </w:r>
      <w:r w:rsidRPr="00345A1C">
        <w:rPr>
          <w:rFonts w:ascii="GHEA Grapalat" w:hAnsi="GHEA Grapalat"/>
          <w:sz w:val="22"/>
          <w:szCs w:val="22"/>
        </w:rPr>
        <w:t>արագացել է՝</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կազմելով</w:t>
      </w:r>
      <w:r w:rsidRPr="00345A1C">
        <w:rPr>
          <w:rFonts w:ascii="GHEA Grapalat" w:hAnsi="GHEA Grapalat"/>
          <w:sz w:val="22"/>
          <w:szCs w:val="22"/>
          <w:lang w:val="af-ZA"/>
        </w:rPr>
        <w:t xml:space="preserve"> 1%</w:t>
      </w:r>
      <w:r w:rsidRPr="00345A1C">
        <w:rPr>
          <w:rFonts w:ascii="GHEA Grapalat" w:hAnsi="GHEA Grapalat"/>
          <w:sz w:val="22"/>
          <w:szCs w:val="22"/>
        </w:rPr>
        <w:t>, իսկ չորրորդ եռամսյակում՝ 1.2%</w:t>
      </w:r>
      <w:r w:rsidRPr="00345A1C">
        <w:rPr>
          <w:rFonts w:ascii="GHEA Grapalat" w:hAnsi="GHEA Grapalat"/>
          <w:sz w:val="22"/>
          <w:szCs w:val="22"/>
          <w:lang w:val="af-ZA"/>
        </w:rPr>
        <w:t xml:space="preserve">: </w:t>
      </w:r>
      <w:r w:rsidRPr="00345A1C">
        <w:rPr>
          <w:rFonts w:ascii="GHEA Grapalat" w:hAnsi="GHEA Grapalat"/>
          <w:sz w:val="22"/>
          <w:szCs w:val="22"/>
        </w:rPr>
        <w:t xml:space="preserve">Երրորդ և չորրորդ եռամսյակներում աճի արագացումը պայմանավորված է եղել թուլացող գնաճային ճնշումներով և մասնավոր սպառման աճով։ Սակայն </w:t>
      </w:r>
      <w:r w:rsidR="005E14A6" w:rsidRPr="00345A1C">
        <w:rPr>
          <w:rFonts w:ascii="GHEA Grapalat" w:hAnsi="GHEA Grapalat"/>
          <w:sz w:val="22"/>
          <w:szCs w:val="22"/>
        </w:rPr>
        <w:t>եվր</w:t>
      </w:r>
      <w:r w:rsidR="007514EE" w:rsidRPr="008040E9">
        <w:rPr>
          <w:rFonts w:ascii="GHEA Grapalat" w:hAnsi="GHEA Grapalat"/>
          <w:sz w:val="22"/>
          <w:szCs w:val="22"/>
        </w:rPr>
        <w:t>ա</w:t>
      </w:r>
      <w:r w:rsidR="005E14A6" w:rsidRPr="00345A1C">
        <w:rPr>
          <w:rFonts w:ascii="GHEA Grapalat" w:hAnsi="GHEA Grapalat"/>
          <w:sz w:val="22"/>
          <w:szCs w:val="22"/>
        </w:rPr>
        <w:t>գոտու տնտեսությունը</w:t>
      </w:r>
      <w:r w:rsidRPr="00345A1C">
        <w:rPr>
          <w:rFonts w:ascii="GHEA Grapalat" w:hAnsi="GHEA Grapalat"/>
          <w:sz w:val="22"/>
          <w:szCs w:val="22"/>
        </w:rPr>
        <w:t xml:space="preserve"> շարունակել է մնալ էներգակիրների բարձր գների հետևանքով արդյունաբերության խորացող անկման, ինչպես նաև պետական և մասնավոր սպառման թույլ տեմպերի ճնշման տակ։</w:t>
      </w:r>
    </w:p>
    <w:p w14:paraId="6B03FF12" w14:textId="70B516CC" w:rsidR="00F04D21" w:rsidRPr="00345A1C" w:rsidRDefault="00CA6DDB" w:rsidP="00F04D21">
      <w:pPr>
        <w:tabs>
          <w:tab w:val="left" w:pos="2835"/>
        </w:tabs>
        <w:spacing w:line="276" w:lineRule="auto"/>
        <w:ind w:firstLine="567"/>
        <w:jc w:val="both"/>
        <w:rPr>
          <w:rFonts w:ascii="GHEA Grapalat" w:hAnsi="GHEA Grapalat"/>
          <w:sz w:val="22"/>
          <w:szCs w:val="22"/>
        </w:rPr>
      </w:pPr>
      <w:r>
        <w:rPr>
          <w:rFonts w:ascii="GHEA Grapalat" w:hAnsi="GHEA Grapalat"/>
          <w:sz w:val="22"/>
          <w:szCs w:val="22"/>
        </w:rPr>
        <w:t>2024</w:t>
      </w:r>
      <w:r w:rsidR="00F04D21" w:rsidRPr="00345A1C">
        <w:rPr>
          <w:rFonts w:ascii="GHEA Grapalat" w:hAnsi="GHEA Grapalat"/>
          <w:sz w:val="22"/>
          <w:szCs w:val="22"/>
        </w:rPr>
        <w:t>թ</w:t>
      </w:r>
      <w:r>
        <w:rPr>
          <w:rFonts w:ascii="GHEA Grapalat" w:hAnsi="GHEA Grapalat"/>
          <w:sz w:val="22"/>
          <w:szCs w:val="22"/>
        </w:rPr>
        <w:t>.</w:t>
      </w:r>
      <w:r w:rsidR="00F04D21" w:rsidRPr="00345A1C">
        <w:rPr>
          <w:rFonts w:ascii="GHEA Grapalat" w:hAnsi="GHEA Grapalat"/>
          <w:sz w:val="22"/>
          <w:szCs w:val="22"/>
        </w:rPr>
        <w:t xml:space="preserve"> Չինաստանում գրանցվել է 5</w:t>
      </w:r>
      <w:r w:rsidR="00F04D21" w:rsidRPr="00345A1C">
        <w:rPr>
          <w:rFonts w:ascii="GHEA Grapalat" w:hAnsi="GHEA Grapalat"/>
          <w:sz w:val="22"/>
          <w:szCs w:val="22"/>
          <w:lang w:val="af-ZA"/>
        </w:rPr>
        <w:t>%</w:t>
      </w:r>
      <w:r w:rsidR="00F04D21" w:rsidRPr="00345A1C">
        <w:rPr>
          <w:rStyle w:val="FootnoteReference"/>
          <w:rFonts w:ascii="GHEA Grapalat" w:hAnsi="GHEA Grapalat"/>
          <w:sz w:val="22"/>
          <w:szCs w:val="22"/>
          <w:lang w:val="af-ZA"/>
        </w:rPr>
        <w:footnoteReference w:id="3"/>
      </w:r>
      <w:r w:rsidR="00F04D21" w:rsidRPr="00345A1C">
        <w:rPr>
          <w:rFonts w:ascii="GHEA Grapalat" w:hAnsi="GHEA Grapalat"/>
          <w:sz w:val="22"/>
          <w:szCs w:val="22"/>
          <w:lang w:val="af-ZA"/>
        </w:rPr>
        <w:t xml:space="preserve"> տնտեսական աճ</w:t>
      </w:r>
      <w:r w:rsidR="00F04D21" w:rsidRPr="00345A1C">
        <w:rPr>
          <w:rFonts w:ascii="GHEA Grapalat" w:hAnsi="GHEA Grapalat"/>
          <w:sz w:val="22"/>
          <w:szCs w:val="22"/>
        </w:rPr>
        <w:t>՝ հասնելով կառավարության կողմից սահմանված</w:t>
      </w:r>
      <w:r w:rsidR="005E14A6" w:rsidRPr="00345A1C">
        <w:rPr>
          <w:rFonts w:ascii="GHEA Grapalat" w:hAnsi="GHEA Grapalat"/>
          <w:sz w:val="22"/>
          <w:szCs w:val="22"/>
        </w:rPr>
        <w:t xml:space="preserve"> </w:t>
      </w:r>
      <w:r w:rsidR="005E14A6" w:rsidRPr="00BC2C75">
        <w:rPr>
          <w:rFonts w:ascii="GHEA Grapalat" w:hAnsi="GHEA Grapalat"/>
          <w:sz w:val="22"/>
          <w:szCs w:val="22"/>
        </w:rPr>
        <w:t>5%</w:t>
      </w:r>
      <w:r w:rsidR="00F04D21" w:rsidRPr="00345A1C">
        <w:rPr>
          <w:rFonts w:ascii="GHEA Grapalat" w:hAnsi="GHEA Grapalat"/>
          <w:sz w:val="22"/>
          <w:szCs w:val="22"/>
        </w:rPr>
        <w:t xml:space="preserve"> թիրախին։ Ընդ որում, առաջին եռամսյակում գրանցվել է </w:t>
      </w:r>
      <w:r w:rsidR="00F04D21" w:rsidRPr="00345A1C">
        <w:rPr>
          <w:rFonts w:ascii="GHEA Grapalat" w:hAnsi="GHEA Grapalat"/>
          <w:sz w:val="22"/>
          <w:szCs w:val="22"/>
          <w:lang w:val="de-AT"/>
        </w:rPr>
        <w:t>5.3%</w:t>
      </w:r>
      <w:r w:rsidR="00F04D21" w:rsidRPr="00345A1C">
        <w:rPr>
          <w:rFonts w:ascii="GHEA Grapalat" w:hAnsi="GHEA Grapalat"/>
          <w:sz w:val="22"/>
          <w:szCs w:val="22"/>
        </w:rPr>
        <w:t xml:space="preserve"> տնտեսական աճ, երկրորդ եռամսյակում՝ 4.7</w:t>
      </w:r>
      <w:r w:rsidR="00F04D21" w:rsidRPr="00345A1C">
        <w:rPr>
          <w:rFonts w:ascii="GHEA Grapalat" w:hAnsi="GHEA Grapalat"/>
          <w:sz w:val="22"/>
          <w:szCs w:val="22"/>
          <w:lang w:val="de-AT"/>
        </w:rPr>
        <w:t>%</w:t>
      </w:r>
      <w:r w:rsidR="00F04D21" w:rsidRPr="00345A1C">
        <w:rPr>
          <w:rFonts w:ascii="GHEA Grapalat" w:hAnsi="GHEA Grapalat"/>
          <w:sz w:val="22"/>
          <w:szCs w:val="22"/>
        </w:rPr>
        <w:t>, երրորդում՝ 4.6</w:t>
      </w:r>
      <w:r w:rsidR="00F04D21" w:rsidRPr="00345A1C">
        <w:rPr>
          <w:rFonts w:ascii="GHEA Grapalat" w:hAnsi="GHEA Grapalat"/>
          <w:sz w:val="22"/>
          <w:szCs w:val="22"/>
          <w:lang w:val="de-AT"/>
        </w:rPr>
        <w:t>%</w:t>
      </w:r>
      <w:r w:rsidR="00F04D21" w:rsidRPr="00345A1C">
        <w:rPr>
          <w:rFonts w:ascii="GHEA Grapalat" w:hAnsi="GHEA Grapalat"/>
          <w:sz w:val="22"/>
          <w:szCs w:val="22"/>
        </w:rPr>
        <w:t xml:space="preserve"> և չորրորդում՝ 5</w:t>
      </w:r>
      <w:r w:rsidR="00F04D21" w:rsidRPr="00345A1C">
        <w:rPr>
          <w:rFonts w:ascii="GHEA Grapalat" w:hAnsi="GHEA Grapalat"/>
          <w:sz w:val="22"/>
          <w:szCs w:val="22"/>
          <w:lang w:val="af-ZA"/>
        </w:rPr>
        <w:t xml:space="preserve">.4%: </w:t>
      </w:r>
      <w:r w:rsidR="00F04D21" w:rsidRPr="00345A1C">
        <w:rPr>
          <w:rFonts w:ascii="GHEA Grapalat" w:hAnsi="GHEA Grapalat"/>
          <w:sz w:val="22"/>
          <w:szCs w:val="22"/>
        </w:rPr>
        <w:t>Առաջին եռամսյակի աճը պայմանավորված է եղել անշարժ գույքի շուկայում առկա անկայունության մեղմացմանը միտված` կառավարության խթանող միջոցառումներով, ինչպես նաև նեդրումների և ներքին սպառման աճով։ Իսկ երկրորդ եռամսյակում աճի դանդաղման հիմնական գործոններն են հանդիսացել անշարժ գույքի ոլորտի անկումը, մշակող արդյունաբերության և ՏՏ ծառայությունների աճի դանդաղումը։ Երրորդ եռամսյակում շարունակել են պահպանվել անշարժ գույքի շուկայի անկայունությունը, թույլ ներքին պահանջարկը, գնանկման ռիսկերը և Արևմուտքի հետ առևտրային բախումները, որոնց արդյունքում նախորդող եռամսյակների համեմատ աճը երրորդ եռամսյակում դանդաղել է: Չորրորդ եռամսյակում աճի արագացմանը նպաստել են աճի և վստահության վերականգնմանը միտված</w:t>
      </w:r>
      <w:r w:rsidR="007514EE" w:rsidRPr="008040E9">
        <w:rPr>
          <w:rFonts w:ascii="GHEA Grapalat" w:hAnsi="GHEA Grapalat"/>
          <w:sz w:val="22"/>
          <w:szCs w:val="22"/>
        </w:rPr>
        <w:t>՝</w:t>
      </w:r>
      <w:r w:rsidR="00F04D21" w:rsidRPr="00345A1C">
        <w:rPr>
          <w:rFonts w:ascii="GHEA Grapalat" w:hAnsi="GHEA Grapalat"/>
          <w:sz w:val="22"/>
          <w:szCs w:val="22"/>
        </w:rPr>
        <w:t xml:space="preserve"> սեպտեմբերից մեկնարկած կառավարության խթանող միջոցառումները և մշակող արդյունաբերության ոլորտի աճը։</w:t>
      </w:r>
    </w:p>
    <w:p w14:paraId="135D543F" w14:textId="16B3A622" w:rsidR="00F04D21" w:rsidRPr="00345A1C" w:rsidRDefault="00CA6DDB" w:rsidP="00F04D21">
      <w:pPr>
        <w:tabs>
          <w:tab w:val="left" w:pos="2835"/>
        </w:tabs>
        <w:spacing w:after="240" w:line="276" w:lineRule="auto"/>
        <w:ind w:firstLine="567"/>
        <w:jc w:val="both"/>
        <w:rPr>
          <w:rFonts w:ascii="GHEA Grapalat" w:hAnsi="GHEA Grapalat"/>
          <w:sz w:val="22"/>
          <w:szCs w:val="22"/>
        </w:rPr>
      </w:pPr>
      <w:r>
        <w:rPr>
          <w:rFonts w:ascii="GHEA Grapalat" w:hAnsi="GHEA Grapalat"/>
          <w:sz w:val="22"/>
          <w:szCs w:val="22"/>
        </w:rPr>
        <w:t>ՌԴ տնտեսության աճը 2024</w:t>
      </w:r>
      <w:r w:rsidR="00F04D21" w:rsidRPr="00345A1C">
        <w:rPr>
          <w:rFonts w:ascii="GHEA Grapalat" w:hAnsi="GHEA Grapalat"/>
          <w:sz w:val="22"/>
          <w:szCs w:val="22"/>
        </w:rPr>
        <w:t>թ</w:t>
      </w:r>
      <w:r>
        <w:rPr>
          <w:rFonts w:ascii="GHEA Grapalat" w:hAnsi="GHEA Grapalat"/>
          <w:sz w:val="22"/>
          <w:szCs w:val="22"/>
        </w:rPr>
        <w:t>.</w:t>
      </w:r>
      <w:r w:rsidR="00F04D21" w:rsidRPr="00345A1C">
        <w:rPr>
          <w:rFonts w:ascii="GHEA Grapalat" w:hAnsi="GHEA Grapalat"/>
          <w:sz w:val="22"/>
          <w:szCs w:val="22"/>
        </w:rPr>
        <w:t xml:space="preserve"> կազմել է 4.1%</w:t>
      </w:r>
      <w:r w:rsidR="00F04D21" w:rsidRPr="00345A1C">
        <w:rPr>
          <w:rStyle w:val="FootnoteReference"/>
          <w:rFonts w:ascii="GHEA Grapalat" w:hAnsi="GHEA Grapalat"/>
          <w:sz w:val="22"/>
          <w:szCs w:val="22"/>
        </w:rPr>
        <w:footnoteReference w:id="4"/>
      </w:r>
      <w:r w:rsidR="00F04D21" w:rsidRPr="00345A1C">
        <w:rPr>
          <w:rFonts w:ascii="GHEA Grapalat" w:hAnsi="GHEA Grapalat"/>
          <w:sz w:val="22"/>
          <w:szCs w:val="22"/>
        </w:rPr>
        <w:t>, ընդ որում, առաջին եռամսյակում աճը կազմել է 5.4%, երկրորդ եռամսյակում՝ 4.1%, երրորդում՝ 3.1% և չորրորդ եռամսյակում արագանալով կազմել է 3.8%։ ՌԴ-ում աճը առավելապես պայմանավորված է եղել պետական ծախսերի և ներդրումների աճով, պետական խթանող միջոցառումների արդյունքում ներքին պահանջարկի աճով:</w:t>
      </w:r>
    </w:p>
    <w:p w14:paraId="7E75AE5A" w14:textId="383C5FC6" w:rsidR="00F04D21" w:rsidRPr="00673E4C" w:rsidRDefault="00FE713F" w:rsidP="000A188F">
      <w:pPr>
        <w:keepNext/>
        <w:keepLines/>
        <w:tabs>
          <w:tab w:val="left" w:pos="0"/>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lastRenderedPageBreak/>
        <w:t xml:space="preserve">Գծապատկեր 1. </w:t>
      </w:r>
      <w:r w:rsidR="00F04D21" w:rsidRPr="00673E4C">
        <w:rPr>
          <w:rFonts w:ascii="GHEA Grapalat" w:hAnsi="GHEA Grapalat" w:cs="Sylfaen"/>
          <w:b/>
          <w:sz w:val="18"/>
          <w:szCs w:val="18"/>
        </w:rPr>
        <w:t>Գործընկեր երկրների տնտեսական աճեր, %</w:t>
      </w:r>
    </w:p>
    <w:p w14:paraId="03AEBF1D" w14:textId="77777777" w:rsidR="00F04D21" w:rsidRPr="00345A1C" w:rsidRDefault="00F04D21" w:rsidP="00F04D21">
      <w:pPr>
        <w:keepNext/>
        <w:keepLines/>
        <w:autoSpaceDE w:val="0"/>
        <w:autoSpaceDN w:val="0"/>
        <w:adjustRightInd w:val="0"/>
        <w:spacing w:after="240" w:line="360" w:lineRule="auto"/>
        <w:contextualSpacing/>
        <w:jc w:val="both"/>
        <w:rPr>
          <w:rFonts w:ascii="GHEA Grapalat" w:hAnsi="GHEA Grapalat" w:cs="Sylfaen"/>
          <w:sz w:val="22"/>
          <w:szCs w:val="22"/>
        </w:rPr>
      </w:pPr>
      <w:r w:rsidRPr="00345A1C">
        <w:rPr>
          <w:rFonts w:ascii="GHEA Grapalat" w:hAnsi="GHEA Grapalat"/>
          <w:sz w:val="22"/>
          <w:lang w:val="en-US"/>
        </w:rPr>
        <w:drawing>
          <wp:inline distT="0" distB="0" distL="0" distR="0" wp14:anchorId="5E138FE7" wp14:editId="080C8B6B">
            <wp:extent cx="6480810" cy="1772573"/>
            <wp:effectExtent l="0" t="0" r="15240" b="18415"/>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287FD61" w14:textId="1AFADD93" w:rsidR="00F04D21" w:rsidRPr="00BC2C75" w:rsidRDefault="00F04D21" w:rsidP="000A188F">
      <w:pPr>
        <w:jc w:val="both"/>
        <w:rPr>
          <w:rFonts w:ascii="GHEA Grapalat" w:hAnsi="GHEA Grapalat"/>
          <w:i/>
          <w:sz w:val="16"/>
          <w:szCs w:val="16"/>
        </w:rPr>
      </w:pPr>
      <w:r w:rsidRPr="00BC2C75">
        <w:rPr>
          <w:rFonts w:ascii="GHEA Grapalat" w:hAnsi="GHEA Grapalat"/>
          <w:i/>
          <w:sz w:val="16"/>
          <w:szCs w:val="16"/>
        </w:rPr>
        <w:t>Աղբյուրը՝ ԱՄՆ տնտեսական վերլուծությունների բյուրո, Եվրոստատ, Չինաստանի վիճակագրության ազգային բյուրո,</w:t>
      </w:r>
      <w:r w:rsidR="000A188F" w:rsidRPr="008040E9">
        <w:rPr>
          <w:rFonts w:ascii="GHEA Grapalat" w:hAnsi="GHEA Grapalat"/>
          <w:i/>
          <w:sz w:val="16"/>
          <w:szCs w:val="16"/>
        </w:rPr>
        <w:t xml:space="preserve"> </w:t>
      </w:r>
      <w:r w:rsidRPr="00BC2C75">
        <w:rPr>
          <w:rFonts w:ascii="GHEA Grapalat" w:hAnsi="GHEA Grapalat"/>
          <w:i/>
          <w:sz w:val="16"/>
          <w:szCs w:val="16"/>
        </w:rPr>
        <w:t>ՌԴ տնտեսական զարգացման նախարարություն</w:t>
      </w:r>
    </w:p>
    <w:p w14:paraId="693D35BB" w14:textId="77777777" w:rsidR="000A188F" w:rsidRDefault="000A188F" w:rsidP="00F04D21">
      <w:pPr>
        <w:spacing w:line="276" w:lineRule="auto"/>
        <w:ind w:firstLine="567"/>
        <w:jc w:val="both"/>
        <w:rPr>
          <w:rFonts w:ascii="GHEA Grapalat" w:hAnsi="GHEA Grapalat" w:cs="GHEA Grapalat"/>
          <w:sz w:val="22"/>
          <w:szCs w:val="22"/>
        </w:rPr>
      </w:pPr>
    </w:p>
    <w:p w14:paraId="16104EED" w14:textId="4F76B224" w:rsidR="00F04D21" w:rsidRPr="00345A1C" w:rsidRDefault="00F04D21" w:rsidP="00F04D21">
      <w:pPr>
        <w:spacing w:line="276" w:lineRule="auto"/>
        <w:ind w:firstLine="567"/>
        <w:jc w:val="both"/>
        <w:rPr>
          <w:rFonts w:ascii="GHEA Grapalat" w:hAnsi="GHEA Grapalat" w:cs="GHEA Grapalat"/>
          <w:sz w:val="22"/>
          <w:szCs w:val="22"/>
        </w:rPr>
      </w:pPr>
      <w:r w:rsidRPr="00345A1C">
        <w:rPr>
          <w:rFonts w:ascii="GHEA Grapalat" w:hAnsi="GHEA Grapalat" w:cs="GHEA Grapalat"/>
          <w:sz w:val="22"/>
          <w:szCs w:val="22"/>
        </w:rPr>
        <w:t>Գնաճի տեմպերի թուլացմանը զուգահեռ (բացառությամբ ՌԴ-ի) կենտրոնական բանկերի կողմից իրականցվող զսպող քաղաքականության դիրքն աստիճանաբար թուլացել է</w:t>
      </w:r>
      <w:r w:rsidR="001648CA" w:rsidRPr="008040E9">
        <w:rPr>
          <w:rFonts w:ascii="GHEA Grapalat" w:hAnsi="GHEA Grapalat" w:cs="GHEA Grapalat"/>
          <w:sz w:val="22"/>
          <w:szCs w:val="22"/>
        </w:rPr>
        <w:t>՝</w:t>
      </w:r>
      <w:r w:rsidRPr="00345A1C">
        <w:rPr>
          <w:rFonts w:ascii="GHEA Grapalat" w:hAnsi="GHEA Grapalat" w:cs="GHEA Grapalat"/>
          <w:sz w:val="22"/>
          <w:szCs w:val="22"/>
        </w:rPr>
        <w:t xml:space="preserve"> բացառությամբ ՌԴ-ի, որտեղ հիմնական տոկոսադրո</w:t>
      </w:r>
      <w:r w:rsidR="00CA6DDB">
        <w:rPr>
          <w:rFonts w:ascii="GHEA Grapalat" w:hAnsi="GHEA Grapalat" w:cs="GHEA Grapalat"/>
          <w:sz w:val="22"/>
          <w:szCs w:val="22"/>
        </w:rPr>
        <w:t>ւյքը շարունակաբար աճել է:</w:t>
      </w:r>
      <w:r w:rsidR="00B85C24">
        <w:rPr>
          <w:rFonts w:ascii="GHEA Grapalat" w:hAnsi="GHEA Grapalat" w:cs="GHEA Grapalat"/>
          <w:sz w:val="22"/>
          <w:szCs w:val="22"/>
        </w:rPr>
        <w:t xml:space="preserve"> </w:t>
      </w:r>
      <w:r w:rsidR="00CA6DDB">
        <w:rPr>
          <w:rFonts w:ascii="GHEA Grapalat" w:hAnsi="GHEA Grapalat" w:cs="GHEA Grapalat"/>
          <w:sz w:val="22"/>
          <w:szCs w:val="22"/>
        </w:rPr>
        <w:t>2024</w:t>
      </w:r>
      <w:r w:rsidRPr="00345A1C">
        <w:rPr>
          <w:rFonts w:ascii="GHEA Grapalat" w:hAnsi="GHEA Grapalat" w:cs="GHEA Grapalat"/>
          <w:sz w:val="22"/>
          <w:szCs w:val="22"/>
        </w:rPr>
        <w:t>թ</w:t>
      </w:r>
      <w:r w:rsidR="00CA6DDB">
        <w:rPr>
          <w:rFonts w:ascii="GHEA Grapalat" w:hAnsi="GHEA Grapalat" w:cs="GHEA Grapalat"/>
          <w:sz w:val="22"/>
          <w:szCs w:val="22"/>
        </w:rPr>
        <w:t>.</w:t>
      </w:r>
      <w:r w:rsidRPr="00345A1C">
        <w:rPr>
          <w:rFonts w:ascii="GHEA Grapalat" w:hAnsi="GHEA Grapalat" w:cs="GHEA Grapalat"/>
          <w:sz w:val="22"/>
          <w:szCs w:val="22"/>
        </w:rPr>
        <w:t xml:space="preserve"> առաջին կիսամյակի ընթացքում կայուն պահելով նախորդ տարեվերջին սահմանված տոկոսադրույքները՝ հուլիսից կենտրոնական բանկերի կողմից դրանք աստիճանաբար նվազեցվել են: Արդյունքում, ԱՄՆ ԴՊՀ</w:t>
      </w:r>
      <w:r w:rsidR="003555D6" w:rsidRPr="008040E9">
        <w:rPr>
          <w:rFonts w:ascii="GHEA Grapalat" w:hAnsi="GHEA Grapalat" w:cs="GHEA Grapalat"/>
          <w:sz w:val="22"/>
          <w:szCs w:val="22"/>
        </w:rPr>
        <w:t xml:space="preserve"> (Դաշնային պահուստային համակարգի)</w:t>
      </w:r>
      <w:r w:rsidRPr="00345A1C">
        <w:rPr>
          <w:rFonts w:ascii="GHEA Grapalat" w:hAnsi="GHEA Grapalat" w:cs="GHEA Grapalat"/>
          <w:sz w:val="22"/>
          <w:szCs w:val="22"/>
        </w:rPr>
        <w:t xml:space="preserve"> քաղաքականության տոկոսադրույքը դեկտեմբերի վերջի դրությամբ կազմել է 4.25-4.5%՝ ի համեմատ տարեսկզբի 5.25-5.5% սահմանված մակարդակի։ Եվրոպական կենտրոնական բանկը հետևելով գնաճի տեմպերի</w:t>
      </w:r>
      <w:r w:rsidR="005E14A6" w:rsidRPr="00345A1C">
        <w:rPr>
          <w:rFonts w:ascii="GHEA Grapalat" w:hAnsi="GHEA Grapalat" w:cs="GHEA Grapalat"/>
          <w:sz w:val="22"/>
          <w:szCs w:val="22"/>
        </w:rPr>
        <w:t xml:space="preserve"> նվազմանը</w:t>
      </w:r>
      <w:r w:rsidRPr="00345A1C">
        <w:rPr>
          <w:rFonts w:ascii="GHEA Grapalat" w:hAnsi="GHEA Grapalat" w:cs="GHEA Grapalat"/>
          <w:sz w:val="22"/>
          <w:szCs w:val="22"/>
        </w:rPr>
        <w:t>՝ շարունակել է աստիճանաբար նվազեցնել քաղաքականության տոկոսադրույքը՝ արդյունքում մեղմելով ֆինանսական պայմանները։ Արդյունքում, դեկտեմբեր</w:t>
      </w:r>
      <w:r w:rsidR="005E14A6" w:rsidRPr="00345A1C">
        <w:rPr>
          <w:rFonts w:ascii="GHEA Grapalat" w:hAnsi="GHEA Grapalat" w:cs="GHEA Grapalat"/>
          <w:sz w:val="22"/>
          <w:szCs w:val="22"/>
        </w:rPr>
        <w:t>ի</w:t>
      </w:r>
      <w:r w:rsidRPr="00345A1C">
        <w:rPr>
          <w:rFonts w:ascii="GHEA Grapalat" w:hAnsi="GHEA Grapalat" w:cs="GHEA Grapalat"/>
          <w:sz w:val="22"/>
          <w:szCs w:val="22"/>
        </w:rPr>
        <w:t xml:space="preserve"> վերջի դրությամբ ԵԿԲ վերաֆինանսավորման տոկոսադրույքը կազմել է 3.15%՝ ի համեմատ տարեսկզբի 4.5% մակարդակի։ Չինաստանի բանկը տնտեսական ակտիվությունը խթանելու, անշարժ գույքի շուկային աջակցելու և գնանկումային միտումներին հակազդելու նպատակով՝ քաղաքականության տոկոսադրույքը երկրորդ կիսամյակում նվազեցրել է երկու անգամ։ Արդյունքում, տարեվ</w:t>
      </w:r>
      <w:r w:rsidR="00A258A9">
        <w:rPr>
          <w:rFonts w:ascii="GHEA Grapalat" w:hAnsi="GHEA Grapalat" w:cs="GHEA Grapalat"/>
          <w:sz w:val="22"/>
          <w:szCs w:val="22"/>
        </w:rPr>
        <w:t>երջի դրությամբ այն կազմել է 3.1</w:t>
      </w:r>
      <w:r w:rsidRPr="00345A1C">
        <w:rPr>
          <w:rFonts w:ascii="GHEA Grapalat" w:hAnsi="GHEA Grapalat" w:cs="GHEA Grapalat"/>
          <w:sz w:val="22"/>
          <w:szCs w:val="22"/>
        </w:rPr>
        <w:t xml:space="preserve">%` ի համեմատ տարեսկզբի 3.45%-ի։ ՌԴ հիմնական տոկոսադրույքը տարեվերջին կազմել է 21%, որը 5 տոկոսային կետով բարձր է տարեսկզբին սահմանված 16% մակարդակից։ Երկրորդ կիսամյակում ՌԴ ԿԲ հիմնական տոկոսադրույքի շարունակական աճը պայմանավորված է եղել առկա պահանջարկի ավելցուկի հետևանքով գնաճի տեմպերի շարունակական արագացմամբ։ </w:t>
      </w:r>
    </w:p>
    <w:p w14:paraId="0AB0A807" w14:textId="77777777" w:rsidR="00F04D21" w:rsidRPr="00345A1C" w:rsidRDefault="00F04D21" w:rsidP="00F04D21">
      <w:pPr>
        <w:spacing w:line="276" w:lineRule="auto"/>
        <w:ind w:firstLine="567"/>
        <w:jc w:val="both"/>
        <w:rPr>
          <w:rFonts w:ascii="GHEA Grapalat" w:hAnsi="GHEA Grapalat" w:cs="GHEA Grapalat"/>
          <w:sz w:val="22"/>
          <w:szCs w:val="22"/>
        </w:rPr>
      </w:pPr>
    </w:p>
    <w:p w14:paraId="362AC46C" w14:textId="433A286E" w:rsidR="00F04D21" w:rsidRPr="00673E4C" w:rsidRDefault="008967C4" w:rsidP="00A258A9">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lastRenderedPageBreak/>
        <w:t xml:space="preserve">Գծապատկեր 2. </w:t>
      </w:r>
      <w:r w:rsidR="00F04D21" w:rsidRPr="00673E4C">
        <w:rPr>
          <w:rFonts w:ascii="GHEA Grapalat" w:hAnsi="GHEA Grapalat" w:cs="Sylfaen"/>
          <w:b/>
          <w:sz w:val="18"/>
          <w:szCs w:val="18"/>
        </w:rPr>
        <w:t>Գնաճն ու դրամավարկային քաղաքականության արձագանքը գործընկեր երկրներում</w:t>
      </w:r>
      <w:r w:rsidR="00F04D21" w:rsidRPr="00673E4C">
        <w:rPr>
          <w:rFonts w:ascii="GHEA Grapalat" w:hAnsi="GHEA Grapalat" w:cs="Sylfaen"/>
          <w:b/>
          <w:sz w:val="18"/>
          <w:szCs w:val="18"/>
          <w:vertAlign w:val="superscript"/>
        </w:rPr>
        <w:footnoteReference w:id="5"/>
      </w:r>
    </w:p>
    <w:tbl>
      <w:tblPr>
        <w:tblW w:w="10026" w:type="dxa"/>
        <w:jc w:val="center"/>
        <w:tblLook w:val="04A0" w:firstRow="1" w:lastRow="0" w:firstColumn="1" w:lastColumn="0" w:noHBand="0" w:noVBand="1"/>
      </w:tblPr>
      <w:tblGrid>
        <w:gridCol w:w="10208"/>
      </w:tblGrid>
      <w:tr w:rsidR="00F04D21" w:rsidRPr="00345A1C" w14:paraId="4B1701F7" w14:textId="77777777" w:rsidTr="008063FB">
        <w:trPr>
          <w:trHeight w:val="2763"/>
          <w:jc w:val="center"/>
        </w:trPr>
        <w:tc>
          <w:tcPr>
            <w:tcW w:w="10026" w:type="dxa"/>
            <w:shd w:val="clear" w:color="auto" w:fill="auto"/>
          </w:tcPr>
          <w:p w14:paraId="21BE3FB3" w14:textId="70906A70" w:rsidR="00F04D21" w:rsidRPr="00345A1C" w:rsidRDefault="00F04D21" w:rsidP="008063FB">
            <w:pPr>
              <w:spacing w:line="276" w:lineRule="auto"/>
              <w:ind w:left="-105"/>
              <w:jc w:val="both"/>
              <w:rPr>
                <w:rFonts w:ascii="GHEA Grapalat" w:hAnsi="GHEA Grapalat"/>
                <w:b/>
                <w:sz w:val="22"/>
              </w:rPr>
            </w:pPr>
            <w:r w:rsidRPr="00345A1C">
              <w:rPr>
                <w:rFonts w:ascii="GHEA Grapalat" w:hAnsi="GHEA Grapalat"/>
                <w:b/>
                <w:sz w:val="22"/>
                <w:lang w:val="en-US"/>
              </w:rPr>
              <w:drawing>
                <wp:inline distT="0" distB="0" distL="0" distR="0" wp14:anchorId="06CC7CF8" wp14:editId="0C29689F">
                  <wp:extent cx="3110865" cy="1860550"/>
                  <wp:effectExtent l="0" t="0" r="13335"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1F7D66">
              <w:rPr>
                <w:rFonts w:ascii="GHEA Grapalat" w:hAnsi="GHEA Grapalat"/>
                <w:b/>
                <w:sz w:val="22"/>
                <w:lang w:val="en-US"/>
              </w:rPr>
              <w:t xml:space="preserve"> </w:t>
            </w:r>
            <w:r w:rsidR="00C806BA">
              <w:rPr>
                <w:rFonts w:ascii="GHEA Grapalat" w:hAnsi="GHEA Grapalat"/>
                <w:b/>
                <w:sz w:val="22"/>
                <w:lang w:val="en-US"/>
              </w:rPr>
              <w:t xml:space="preserve">    </w:t>
            </w:r>
            <w:r w:rsidRPr="00345A1C">
              <w:rPr>
                <w:rFonts w:ascii="GHEA Grapalat" w:hAnsi="GHEA Grapalat"/>
                <w:b/>
                <w:sz w:val="22"/>
                <w:lang w:val="en-US"/>
              </w:rPr>
              <w:drawing>
                <wp:inline distT="0" distB="0" distL="0" distR="0" wp14:anchorId="373B1FC9" wp14:editId="4D9F681D">
                  <wp:extent cx="3099460" cy="1857375"/>
                  <wp:effectExtent l="0" t="0" r="5715" b="9525"/>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345A1C">
              <w:rPr>
                <w:rFonts w:ascii="GHEA Grapalat" w:hAnsi="GHEA Grapalat"/>
                <w:b/>
                <w:sz w:val="22"/>
                <w:lang w:val="en-US"/>
              </w:rPr>
              <w:drawing>
                <wp:inline distT="0" distB="0" distL="0" distR="0" wp14:anchorId="7F94B0D5" wp14:editId="1C9900D4">
                  <wp:extent cx="6448425" cy="219710"/>
                  <wp:effectExtent l="0" t="0" r="9525" b="8890"/>
                  <wp:docPr id="3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9E6F0D" w14:textId="77777777" w:rsidR="00F04D21" w:rsidRPr="00345A1C" w:rsidRDefault="00F04D21" w:rsidP="00F04D21">
            <w:pPr>
              <w:spacing w:line="276" w:lineRule="auto"/>
              <w:jc w:val="both"/>
              <w:rPr>
                <w:rFonts w:ascii="GHEA Grapalat" w:hAnsi="GHEA Grapalat"/>
                <w:i/>
                <w:sz w:val="16"/>
                <w:szCs w:val="16"/>
              </w:rPr>
            </w:pPr>
            <w:r w:rsidRPr="00345A1C">
              <w:rPr>
                <w:rFonts w:ascii="GHEA Grapalat" w:hAnsi="GHEA Grapalat"/>
                <w:i/>
                <w:sz w:val="16"/>
                <w:szCs w:val="16"/>
              </w:rPr>
              <w:t>Աղբյուրը՝ ԱՄՆ ԴՊՀ, ԵԿԲ, Չինաստանի ժողովրդական բանկ, ՌԴ ԿԲ</w:t>
            </w:r>
          </w:p>
        </w:tc>
      </w:tr>
    </w:tbl>
    <w:p w14:paraId="4CB33C11" w14:textId="77777777" w:rsidR="00F04D21" w:rsidRPr="000A40AE" w:rsidRDefault="00F04D21" w:rsidP="000A40AE">
      <w:pPr>
        <w:spacing w:line="276" w:lineRule="auto"/>
        <w:ind w:firstLine="562"/>
        <w:contextualSpacing/>
        <w:jc w:val="both"/>
        <w:rPr>
          <w:rFonts w:ascii="GHEA Grapalat" w:hAnsi="GHEA Grapalat"/>
          <w:sz w:val="22"/>
        </w:rPr>
      </w:pPr>
    </w:p>
    <w:p w14:paraId="13144221" w14:textId="51315087" w:rsidR="00F04D21" w:rsidRPr="00345A1C" w:rsidRDefault="00F04D21" w:rsidP="00F04D21">
      <w:pPr>
        <w:spacing w:line="276" w:lineRule="auto"/>
        <w:ind w:firstLine="562"/>
        <w:contextualSpacing/>
        <w:jc w:val="both"/>
        <w:rPr>
          <w:rFonts w:ascii="GHEA Grapalat" w:hAnsi="GHEA Grapalat"/>
          <w:sz w:val="22"/>
        </w:rPr>
      </w:pPr>
      <w:r w:rsidRPr="00345A1C">
        <w:rPr>
          <w:rFonts w:ascii="GHEA Grapalat" w:hAnsi="GHEA Grapalat"/>
          <w:b/>
          <w:i/>
          <w:iCs/>
          <w:sz w:val="22"/>
        </w:rPr>
        <w:t>Միջազգային գներ</w:t>
      </w:r>
      <w:r w:rsidRPr="00345A1C">
        <w:rPr>
          <w:rFonts w:ascii="GHEA Grapalat" w:hAnsi="GHEA Grapalat"/>
          <w:b/>
          <w:i/>
          <w:iCs/>
          <w:sz w:val="22"/>
          <w:vertAlign w:val="superscript"/>
        </w:rPr>
        <w:footnoteReference w:id="6"/>
      </w:r>
      <w:r w:rsidRPr="00345A1C">
        <w:rPr>
          <w:rFonts w:ascii="GHEA Grapalat" w:hAnsi="GHEA Grapalat"/>
          <w:b/>
          <w:sz w:val="22"/>
        </w:rPr>
        <w:t>:</w:t>
      </w:r>
      <w:r w:rsidR="00CA6DDB">
        <w:rPr>
          <w:rFonts w:ascii="GHEA Grapalat" w:hAnsi="GHEA Grapalat"/>
          <w:sz w:val="22"/>
        </w:rPr>
        <w:t xml:space="preserve"> 2024</w:t>
      </w:r>
      <w:r w:rsidRPr="00345A1C">
        <w:rPr>
          <w:rFonts w:ascii="GHEA Grapalat" w:hAnsi="GHEA Grapalat"/>
          <w:sz w:val="22"/>
        </w:rPr>
        <w:t>թ</w:t>
      </w:r>
      <w:r w:rsidR="00CA6DDB">
        <w:rPr>
          <w:rFonts w:ascii="GHEA Grapalat" w:hAnsi="GHEA Grapalat"/>
          <w:sz w:val="22"/>
        </w:rPr>
        <w:t>.</w:t>
      </w:r>
      <w:r w:rsidRPr="00345A1C">
        <w:rPr>
          <w:rFonts w:ascii="GHEA Grapalat" w:hAnsi="GHEA Grapalat"/>
          <w:sz w:val="22"/>
        </w:rPr>
        <w:t xml:space="preserve"> համեմատաբար թույլ պահանջարկը և առաջարկի էական աճը հանգեցրել են նավթի գների անկման, մինչդեռ պղնձի գների աճ է գրանցվել՝ վերականգնվող էներգիայի պահանջարկի և առաջարկի կրճատման հետևանքով։</w:t>
      </w:r>
      <w:r w:rsidR="00B85C24">
        <w:rPr>
          <w:rFonts w:ascii="GHEA Grapalat" w:hAnsi="GHEA Grapalat"/>
          <w:sz w:val="22"/>
        </w:rPr>
        <w:t xml:space="preserve"> </w:t>
      </w:r>
    </w:p>
    <w:p w14:paraId="0B399953" w14:textId="0FCB4E29" w:rsidR="00F04D21" w:rsidRPr="00345A1C" w:rsidRDefault="00CA6DDB" w:rsidP="00F04D21">
      <w:pPr>
        <w:spacing w:line="276" w:lineRule="auto"/>
        <w:ind w:firstLine="562"/>
        <w:contextualSpacing/>
        <w:jc w:val="both"/>
        <w:rPr>
          <w:rFonts w:ascii="GHEA Grapalat" w:hAnsi="GHEA Grapalat"/>
          <w:color w:val="FF0000"/>
          <w:sz w:val="22"/>
        </w:rPr>
      </w:pPr>
      <w:r>
        <w:rPr>
          <w:rFonts w:ascii="GHEA Grapalat" w:hAnsi="GHEA Grapalat"/>
          <w:sz w:val="22"/>
        </w:rPr>
        <w:t>Նավթի միջազգային գինը 2024</w:t>
      </w:r>
      <w:r w:rsidR="00F04D21" w:rsidRPr="00345A1C">
        <w:rPr>
          <w:rFonts w:ascii="GHEA Grapalat" w:hAnsi="GHEA Grapalat"/>
          <w:sz w:val="22"/>
        </w:rPr>
        <w:t>թ</w:t>
      </w:r>
      <w:r>
        <w:rPr>
          <w:rFonts w:ascii="GHEA Grapalat" w:hAnsi="GHEA Grapalat"/>
          <w:sz w:val="22"/>
        </w:rPr>
        <w:t>.</w:t>
      </w:r>
      <w:r w:rsidR="00F04D21" w:rsidRPr="00345A1C">
        <w:rPr>
          <w:rFonts w:ascii="GHEA Grapalat" w:hAnsi="GHEA Grapalat"/>
          <w:sz w:val="22"/>
        </w:rPr>
        <w:t xml:space="preserve"> կազմել է 81 դոլար մեկ բարելի դիմաց՝ նախորդ տարվա նկատմամբ նվազելով 2.3%-ով: Չնայած Մերձավոր Արևելքում աշխարհաքաղաքական լարվածությանը և Կարմիր ծովում բ</w:t>
      </w:r>
      <w:r w:rsidR="00B836CF">
        <w:rPr>
          <w:rFonts w:ascii="GHEA Grapalat" w:hAnsi="GHEA Grapalat"/>
          <w:sz w:val="22"/>
        </w:rPr>
        <w:t>եռնափոխադրումների խափանումներին՝</w:t>
      </w:r>
      <w:r w:rsidR="00F04D21" w:rsidRPr="00345A1C">
        <w:rPr>
          <w:rFonts w:ascii="GHEA Grapalat" w:hAnsi="GHEA Grapalat"/>
          <w:sz w:val="22"/>
        </w:rPr>
        <w:t xml:space="preserve"> տարվա ընթացքում նավթի գների աստիճանական նվազմանը նպաստել են Չինաստանի տնտեսական ակտիվության դանդաղումը և վառելիքի պահանջարկի անկումը, ԵԳ արդյունաբերական ոլորտի անկումը, ինչպես նաև ոչ ՕՊԵԿ անդամ երկրների կողմից առաջարկի աճը, որն էլ հակազդել էր ՕՊԵԿ+ երկրների կողմից նավթի արդյունահանման կրճատումներին։ </w:t>
      </w:r>
    </w:p>
    <w:p w14:paraId="3BBBB482" w14:textId="09B3D06F" w:rsidR="00F04D21" w:rsidRPr="00345A1C" w:rsidRDefault="00CA6DDB" w:rsidP="00F04D21">
      <w:pPr>
        <w:spacing w:line="276" w:lineRule="auto"/>
        <w:ind w:firstLine="562"/>
        <w:contextualSpacing/>
        <w:jc w:val="both"/>
        <w:rPr>
          <w:rFonts w:ascii="GHEA Grapalat" w:hAnsi="GHEA Grapalat"/>
          <w:sz w:val="22"/>
        </w:rPr>
      </w:pPr>
      <w:r>
        <w:rPr>
          <w:rFonts w:ascii="GHEA Grapalat" w:hAnsi="GHEA Grapalat"/>
          <w:sz w:val="22"/>
        </w:rPr>
        <w:t>Պղնձի միջազգային գինը 2024</w:t>
      </w:r>
      <w:r w:rsidR="00F04D21" w:rsidRPr="00345A1C">
        <w:rPr>
          <w:rFonts w:ascii="GHEA Grapalat" w:hAnsi="GHEA Grapalat"/>
          <w:sz w:val="22"/>
        </w:rPr>
        <w:t>թ</w:t>
      </w:r>
      <w:r>
        <w:rPr>
          <w:rFonts w:ascii="GHEA Grapalat" w:hAnsi="GHEA Grapalat"/>
          <w:sz w:val="22"/>
        </w:rPr>
        <w:t>.</w:t>
      </w:r>
      <w:r w:rsidR="00F04D21" w:rsidRPr="00345A1C">
        <w:rPr>
          <w:rFonts w:ascii="GHEA Grapalat" w:hAnsi="GHEA Grapalat"/>
          <w:sz w:val="22"/>
        </w:rPr>
        <w:t xml:space="preserve"> նախորդ տարվա համեմատ աճել է 7.7%-ով՝ կազմելով 9,142 ԱՄՆ դոլար մեկ տոննայի դիմաց։ Պղնձի միջազգային գնի զգալի աճը պայմանավորված է եղել խտանյութի առաջարկի կրճատմամբ՝ պայմանավորված կարևոր հանքավայրերի շահագործման դադարեցմամբ, ինչպես նաև կանաչ էներգիայի անցման և դրա հետևանքով էներգետիկ ոլոր</w:t>
      </w:r>
      <w:r w:rsidR="00335835">
        <w:rPr>
          <w:rFonts w:ascii="GHEA Grapalat" w:hAnsi="GHEA Grapalat"/>
          <w:sz w:val="22"/>
        </w:rPr>
        <w:t>տում առկա պահանջարկով, հատկապես՝</w:t>
      </w:r>
      <w:r w:rsidR="00F04D21" w:rsidRPr="00345A1C">
        <w:rPr>
          <w:rFonts w:ascii="GHEA Grapalat" w:hAnsi="GHEA Grapalat"/>
          <w:sz w:val="22"/>
        </w:rPr>
        <w:t xml:space="preserve"> Չինաստանի կողմից։</w:t>
      </w:r>
    </w:p>
    <w:p w14:paraId="2B08B146" w14:textId="5CBC8A77" w:rsidR="00F04D21" w:rsidRPr="00345A1C" w:rsidRDefault="00F04D21" w:rsidP="00F04D21">
      <w:pPr>
        <w:spacing w:line="276" w:lineRule="auto"/>
        <w:ind w:firstLine="567"/>
        <w:contextualSpacing/>
        <w:jc w:val="both"/>
        <w:rPr>
          <w:rFonts w:ascii="GHEA Grapalat" w:hAnsi="GHEA Grapalat"/>
          <w:sz w:val="22"/>
        </w:rPr>
      </w:pPr>
      <w:r w:rsidRPr="00345A1C">
        <w:rPr>
          <w:rFonts w:ascii="GHEA Grapalat" w:hAnsi="GHEA Grapalat"/>
          <w:sz w:val="22"/>
        </w:rPr>
        <w:t>Պարենի միջազգային գինը</w:t>
      </w:r>
      <w:r w:rsidRPr="00345A1C">
        <w:rPr>
          <w:rFonts w:ascii="GHEA Grapalat" w:hAnsi="GHEA Grapalat"/>
          <w:sz w:val="22"/>
          <w:szCs w:val="22"/>
          <w:vertAlign w:val="superscript"/>
        </w:rPr>
        <w:footnoteReference w:id="7"/>
      </w:r>
      <w:r w:rsidR="00CA6DDB">
        <w:rPr>
          <w:rFonts w:ascii="GHEA Grapalat" w:hAnsi="GHEA Grapalat"/>
          <w:sz w:val="22"/>
        </w:rPr>
        <w:t xml:space="preserve"> 2024</w:t>
      </w:r>
      <w:r w:rsidRPr="00345A1C">
        <w:rPr>
          <w:rFonts w:ascii="GHEA Grapalat" w:hAnsi="GHEA Grapalat"/>
          <w:sz w:val="22"/>
        </w:rPr>
        <w:t>թ</w:t>
      </w:r>
      <w:r w:rsidR="00CA6DDB">
        <w:rPr>
          <w:rFonts w:ascii="GHEA Grapalat" w:hAnsi="GHEA Grapalat"/>
          <w:sz w:val="22"/>
        </w:rPr>
        <w:t>.</w:t>
      </w:r>
      <w:r w:rsidRPr="00345A1C">
        <w:rPr>
          <w:rFonts w:ascii="GHEA Grapalat" w:hAnsi="GHEA Grapalat"/>
          <w:sz w:val="22"/>
        </w:rPr>
        <w:t xml:space="preserve"> նախորդ տարվա համեմատ նվազել է 2%-ով՝ պայմանավորված առաջարկի պայմանների բարելավման հետևանքով հացահատիկի և շաքարավազի գների կտրուկ նվազմամբ, ո</w:t>
      </w:r>
      <w:r w:rsidR="00335835">
        <w:rPr>
          <w:rFonts w:ascii="GHEA Grapalat" w:hAnsi="GHEA Grapalat"/>
          <w:sz w:val="22"/>
        </w:rPr>
        <w:t>րոնց որոշ չափով հակազդել է</w:t>
      </w:r>
      <w:r w:rsidRPr="00345A1C">
        <w:rPr>
          <w:rFonts w:ascii="GHEA Grapalat" w:hAnsi="GHEA Grapalat"/>
          <w:sz w:val="22"/>
        </w:rPr>
        <w:t xml:space="preserve"> բուսական յուղերի, կաթնամթերքի և մսի գների աճը։</w:t>
      </w:r>
    </w:p>
    <w:p w14:paraId="0785A04D" w14:textId="77777777" w:rsidR="00F04D21" w:rsidRPr="00345A1C" w:rsidRDefault="00F04D21" w:rsidP="00F04D21">
      <w:pPr>
        <w:spacing w:line="360" w:lineRule="auto"/>
        <w:ind w:firstLine="562"/>
        <w:contextualSpacing/>
        <w:jc w:val="both"/>
        <w:rPr>
          <w:rFonts w:ascii="GHEA Grapalat" w:hAnsi="GHEA Grapalat"/>
          <w:sz w:val="22"/>
        </w:rPr>
      </w:pPr>
    </w:p>
    <w:p w14:paraId="2C636398" w14:textId="35E0C90B" w:rsidR="00F04D21" w:rsidRPr="00673E4C" w:rsidRDefault="00D873A6" w:rsidP="00D873A6">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Pr>
          <w:rFonts w:ascii="GHEA Grapalat" w:hAnsi="GHEA Grapalat" w:cs="Sylfaen"/>
          <w:b/>
          <w:sz w:val="18"/>
          <w:szCs w:val="18"/>
        </w:rPr>
        <w:lastRenderedPageBreak/>
        <w:t xml:space="preserve">Գծապատկեր </w:t>
      </w:r>
      <w:r w:rsidR="00B153C4" w:rsidRPr="00673E4C">
        <w:rPr>
          <w:rFonts w:ascii="GHEA Grapalat" w:hAnsi="GHEA Grapalat" w:cs="Sylfaen"/>
          <w:b/>
          <w:sz w:val="18"/>
          <w:szCs w:val="18"/>
        </w:rPr>
        <w:t xml:space="preserve">3. </w:t>
      </w:r>
      <w:r w:rsidR="00F04D21" w:rsidRPr="00673E4C">
        <w:rPr>
          <w:rFonts w:ascii="GHEA Grapalat" w:hAnsi="GHEA Grapalat" w:cs="Sylfaen"/>
          <w:b/>
          <w:sz w:val="18"/>
          <w:szCs w:val="18"/>
        </w:rPr>
        <w:t>Նավթի, պղնձի և պարենի գների զարգացումներ</w:t>
      </w:r>
      <w:r w:rsidR="00F04D21" w:rsidRPr="00EE57DA">
        <w:rPr>
          <w:rFonts w:ascii="GHEA Grapalat" w:hAnsi="GHEA Grapalat"/>
          <w:sz w:val="18"/>
          <w:szCs w:val="18"/>
          <w:vertAlign w:val="superscript"/>
        </w:rPr>
        <w:footnoteReference w:id="8"/>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111"/>
      </w:tblGrid>
      <w:tr w:rsidR="00F04D21" w:rsidRPr="00345A1C" w14:paraId="4D5A978C" w14:textId="77777777" w:rsidTr="00575C6C">
        <w:trPr>
          <w:trHeight w:val="4079"/>
        </w:trPr>
        <w:tc>
          <w:tcPr>
            <w:tcW w:w="5148" w:type="dxa"/>
          </w:tcPr>
          <w:bookmarkEnd w:id="7"/>
          <w:p w14:paraId="7BF08BD7" w14:textId="77777777" w:rsidR="00F04D21" w:rsidRPr="00BC2C75" w:rsidRDefault="00F04D21" w:rsidP="00D873A6">
            <w:pPr>
              <w:ind w:left="-105"/>
              <w:rPr>
                <w:rFonts w:ascii="GHEA Grapalat" w:hAnsi="GHEA Grapalat"/>
              </w:rPr>
            </w:pPr>
            <w:r w:rsidRPr="00345A1C">
              <w:rPr>
                <w:rFonts w:ascii="GHEA Grapalat" w:hAnsi="GHEA Grapalat"/>
                <w:b/>
                <w:color w:val="365F91" w:themeColor="accent1" w:themeShade="BF"/>
                <w:sz w:val="26"/>
                <w:szCs w:val="26"/>
                <w:lang w:val="en-US"/>
              </w:rPr>
              <w:drawing>
                <wp:inline distT="0" distB="0" distL="0" distR="0" wp14:anchorId="6469D2E1" wp14:editId="1BAAB2AD">
                  <wp:extent cx="3169920" cy="2542032"/>
                  <wp:effectExtent l="0" t="0" r="11430" b="1079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060" w:type="dxa"/>
          </w:tcPr>
          <w:p w14:paraId="5631BE33" w14:textId="77777777" w:rsidR="00F04D21" w:rsidRPr="00BC2C75" w:rsidRDefault="00F04D21" w:rsidP="00DC37FB">
            <w:pPr>
              <w:rPr>
                <w:rFonts w:ascii="GHEA Grapalat" w:hAnsi="GHEA Grapalat"/>
              </w:rPr>
            </w:pPr>
            <w:r w:rsidRPr="00345A1C">
              <w:rPr>
                <w:rFonts w:ascii="GHEA Grapalat" w:hAnsi="GHEA Grapalat"/>
                <w:lang w:val="en-US"/>
              </w:rPr>
              <w:drawing>
                <wp:inline distT="0" distB="0" distL="0" distR="0" wp14:anchorId="0A3AA85D" wp14:editId="408790A5">
                  <wp:extent cx="3110865" cy="2552700"/>
                  <wp:effectExtent l="0" t="0" r="1333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04D21" w:rsidRPr="00345A1C" w14:paraId="5E257558" w14:textId="77777777" w:rsidTr="00575C6C">
        <w:trPr>
          <w:trHeight w:val="423"/>
        </w:trPr>
        <w:tc>
          <w:tcPr>
            <w:tcW w:w="5148" w:type="dxa"/>
          </w:tcPr>
          <w:p w14:paraId="2774BAB7" w14:textId="77777777" w:rsidR="00F04D21" w:rsidRPr="00BC2C75" w:rsidRDefault="00F04D21" w:rsidP="00DC37FB">
            <w:pPr>
              <w:rPr>
                <w:rFonts w:ascii="GHEA Grapalat" w:hAnsi="GHEA Grapalat"/>
                <w:sz w:val="16"/>
                <w:szCs w:val="16"/>
              </w:rPr>
            </w:pPr>
            <w:r w:rsidRPr="00345A1C">
              <w:rPr>
                <w:rFonts w:ascii="GHEA Grapalat" w:eastAsia="Calibri" w:hAnsi="GHEA Grapalat"/>
                <w:i/>
                <w:sz w:val="16"/>
                <w:szCs w:val="16"/>
              </w:rPr>
              <w:t>Աղբյուրը՝ Համաշխարհային բանկ</w:t>
            </w:r>
          </w:p>
        </w:tc>
        <w:tc>
          <w:tcPr>
            <w:tcW w:w="5060" w:type="dxa"/>
          </w:tcPr>
          <w:p w14:paraId="442BC4B0" w14:textId="77777777" w:rsidR="00F04D21" w:rsidRPr="00BC2C75" w:rsidRDefault="00F04D21" w:rsidP="00DC37FB">
            <w:pPr>
              <w:rPr>
                <w:rFonts w:ascii="GHEA Grapalat" w:hAnsi="GHEA Grapalat"/>
                <w:sz w:val="16"/>
                <w:szCs w:val="16"/>
              </w:rPr>
            </w:pPr>
            <w:r w:rsidRPr="00345A1C">
              <w:rPr>
                <w:rFonts w:ascii="GHEA Grapalat" w:eastAsia="GHEA Grapalat" w:hAnsi="GHEA Grapalat" w:cs="GHEA Grapalat"/>
                <w:i/>
                <w:sz w:val="16"/>
                <w:szCs w:val="16"/>
              </w:rPr>
              <w:t>Աղբյուրը՝ ՄԱԿ–ի պարենի և գյուղատնտեսության կազմակերպություն</w:t>
            </w:r>
          </w:p>
        </w:tc>
      </w:tr>
      <w:bookmarkEnd w:id="4"/>
      <w:bookmarkEnd w:id="5"/>
      <w:bookmarkEnd w:id="6"/>
    </w:tbl>
    <w:p w14:paraId="5137341B" w14:textId="77777777" w:rsidR="00E13B19" w:rsidRPr="00E13B19" w:rsidRDefault="00E13B19" w:rsidP="00E13B19">
      <w:pPr>
        <w:spacing w:line="276" w:lineRule="auto"/>
        <w:ind w:firstLine="567"/>
        <w:jc w:val="both"/>
        <w:rPr>
          <w:rFonts w:ascii="GHEA Grapalat" w:eastAsia="GHEA Grapalat" w:hAnsi="GHEA Grapalat" w:cs="GHEA Grapalat"/>
          <w:sz w:val="22"/>
          <w:szCs w:val="22"/>
        </w:rPr>
      </w:pPr>
    </w:p>
    <w:p w14:paraId="7C642B84" w14:textId="65B0F86C" w:rsidR="00575C6C" w:rsidRPr="00220D60" w:rsidRDefault="00575C6C" w:rsidP="00B30654">
      <w:pPr>
        <w:pStyle w:val="Heading3"/>
        <w:keepLines/>
        <w:numPr>
          <w:ilvl w:val="2"/>
          <w:numId w:val="10"/>
        </w:numPr>
        <w:spacing w:before="0" w:line="259" w:lineRule="auto"/>
        <w:ind w:left="567" w:hanging="567"/>
        <w:rPr>
          <w:rFonts w:eastAsiaTheme="majorEastAsia" w:cstheme="majorBidi"/>
          <w:noProof w:val="0"/>
          <w:szCs w:val="24"/>
          <w:lang w:val="en-US"/>
        </w:rPr>
      </w:pPr>
      <w:r w:rsidRPr="00220D60">
        <w:rPr>
          <w:rFonts w:eastAsiaTheme="majorEastAsia" w:cstheme="majorBidi"/>
          <w:noProof w:val="0"/>
          <w:szCs w:val="24"/>
          <w:lang w:val="en-US"/>
        </w:rPr>
        <w:t xml:space="preserve">ՀՀ </w:t>
      </w:r>
      <w:proofErr w:type="spellStart"/>
      <w:r w:rsidRPr="00220D60">
        <w:rPr>
          <w:rFonts w:eastAsiaTheme="majorEastAsia" w:cstheme="majorBidi"/>
          <w:noProof w:val="0"/>
          <w:szCs w:val="24"/>
          <w:lang w:val="en-US"/>
        </w:rPr>
        <w:t>մակրոտնտեսական</w:t>
      </w:r>
      <w:proofErr w:type="spellEnd"/>
      <w:r w:rsidRPr="00220D60">
        <w:rPr>
          <w:rFonts w:eastAsiaTheme="majorEastAsia" w:cstheme="majorBidi"/>
          <w:noProof w:val="0"/>
          <w:szCs w:val="24"/>
          <w:lang w:val="en-US"/>
        </w:rPr>
        <w:t xml:space="preserve"> </w:t>
      </w:r>
      <w:proofErr w:type="spellStart"/>
      <w:r w:rsidRPr="00220D60">
        <w:rPr>
          <w:rFonts w:eastAsiaTheme="majorEastAsia" w:cstheme="majorBidi"/>
          <w:noProof w:val="0"/>
          <w:szCs w:val="24"/>
          <w:lang w:val="en-US"/>
        </w:rPr>
        <w:t>զարգացումներ</w:t>
      </w:r>
      <w:proofErr w:type="spellEnd"/>
    </w:p>
    <w:p w14:paraId="29E65B9E" w14:textId="1A193C3F" w:rsidR="00575C6C" w:rsidRPr="008A2436" w:rsidRDefault="00575C6C" w:rsidP="00220D60">
      <w:pPr>
        <w:pStyle w:val="Heading4"/>
        <w:numPr>
          <w:ilvl w:val="3"/>
          <w:numId w:val="10"/>
        </w:numPr>
        <w:tabs>
          <w:tab w:val="left" w:pos="709"/>
        </w:tabs>
        <w:spacing w:after="240"/>
        <w:ind w:left="993" w:hanging="993"/>
        <w:rPr>
          <w:i w:val="0"/>
          <w:sz w:val="24"/>
          <w:szCs w:val="24"/>
        </w:rPr>
      </w:pPr>
      <w:r w:rsidRPr="008A2436">
        <w:rPr>
          <w:i w:val="0"/>
          <w:sz w:val="24"/>
          <w:szCs w:val="24"/>
        </w:rPr>
        <w:t>Համախառն առաջարկ և պահանջարկ</w:t>
      </w:r>
    </w:p>
    <w:p w14:paraId="05558F33" w14:textId="64CC6027" w:rsidR="00575C6C" w:rsidRDefault="00575C6C" w:rsidP="00575C6C">
      <w:pPr>
        <w:spacing w:line="276" w:lineRule="auto"/>
        <w:ind w:firstLine="567"/>
        <w:jc w:val="both"/>
        <w:rPr>
          <w:rFonts w:ascii="GHEA Grapalat" w:eastAsia="GHEA Grapalat" w:hAnsi="GHEA Grapalat" w:cs="GHEA Grapalat"/>
          <w:sz w:val="22"/>
          <w:szCs w:val="22"/>
        </w:rPr>
      </w:pPr>
      <w:r w:rsidRPr="00EF3602">
        <w:rPr>
          <w:rFonts w:ascii="GHEA Grapalat" w:eastAsia="GHEA Grapalat" w:hAnsi="GHEA Grapalat" w:cs="GHEA Grapalat"/>
          <w:b/>
          <w:i/>
          <w:sz w:val="22"/>
          <w:szCs w:val="22"/>
        </w:rPr>
        <w:t>Համախառն առաջարկ:</w:t>
      </w:r>
      <w:r w:rsidRPr="00EF3602">
        <w:rPr>
          <w:rFonts w:ascii="GHEA Grapalat" w:eastAsia="GHEA Grapalat" w:hAnsi="GHEA Grapalat" w:cs="GHEA Grapalat"/>
          <w:b/>
          <w:sz w:val="22"/>
          <w:szCs w:val="22"/>
        </w:rPr>
        <w:t xml:space="preserve"> </w:t>
      </w:r>
      <w:r w:rsidR="00CA6DDB" w:rsidRPr="00EE57DA">
        <w:rPr>
          <w:rFonts w:ascii="GHEA Grapalat" w:eastAsia="GHEA Grapalat" w:hAnsi="GHEA Grapalat" w:cs="GHEA Grapalat"/>
          <w:sz w:val="22"/>
          <w:szCs w:val="22"/>
        </w:rPr>
        <w:t>2024</w:t>
      </w:r>
      <w:r w:rsidRPr="00EE57DA">
        <w:rPr>
          <w:rFonts w:ascii="GHEA Grapalat" w:eastAsia="GHEA Grapalat" w:hAnsi="GHEA Grapalat" w:cs="GHEA Grapalat"/>
          <w:sz w:val="22"/>
          <w:szCs w:val="22"/>
        </w:rPr>
        <w:t>թ</w:t>
      </w:r>
      <w:r w:rsidR="00CA6DDB" w:rsidRPr="00EE57DA">
        <w:rPr>
          <w:rFonts w:ascii="GHEA Grapalat" w:eastAsia="GHEA Grapalat" w:hAnsi="GHEA Grapalat" w:cs="GHEA Grapalat"/>
          <w:sz w:val="22"/>
          <w:szCs w:val="22"/>
        </w:rPr>
        <w:t>.</w:t>
      </w:r>
      <w:r w:rsidRPr="00EE57DA">
        <w:rPr>
          <w:rFonts w:ascii="GHEA Grapalat" w:eastAsia="GHEA Grapalat" w:hAnsi="GHEA Grapalat" w:cs="GHEA Grapalat"/>
          <w:sz w:val="22"/>
          <w:szCs w:val="22"/>
        </w:rPr>
        <w:t xml:space="preserve"> սկսվել է տնտեսական աճի բարձր տեմպով, որն աստիճանաբար դանդաղել է, սակայն մնացել է բարձր մակարդակում՝ իր վրա կրելով նաև հիմնային մետաղների արտադրության կտրուկ աճի և Լեռնային Ղարաբաղից բռնի տեղահանված անձանց</w:t>
      </w:r>
      <w:r w:rsidR="00916508" w:rsidRPr="008040E9">
        <w:rPr>
          <w:rFonts w:ascii="GHEA Grapalat" w:eastAsia="GHEA Grapalat" w:hAnsi="GHEA Grapalat" w:cs="GHEA Grapalat"/>
          <w:sz w:val="22"/>
          <w:szCs w:val="22"/>
          <w:lang w:val="de-AT"/>
        </w:rPr>
        <w:t>`</w:t>
      </w:r>
      <w:r w:rsidRPr="00EE57DA">
        <w:rPr>
          <w:rFonts w:ascii="GHEA Grapalat" w:eastAsia="GHEA Grapalat" w:hAnsi="GHEA Grapalat" w:cs="GHEA Grapalat"/>
          <w:sz w:val="22"/>
          <w:szCs w:val="22"/>
        </w:rPr>
        <w:t xml:space="preserve"> ՀՀ տնտեսությանն ինտեգրման</w:t>
      </w:r>
      <w:r w:rsidR="00B85C24" w:rsidRPr="00EE57DA">
        <w:rPr>
          <w:rFonts w:ascii="GHEA Grapalat" w:eastAsia="GHEA Grapalat" w:hAnsi="GHEA Grapalat" w:cs="GHEA Grapalat"/>
          <w:sz w:val="22"/>
          <w:szCs w:val="22"/>
        </w:rPr>
        <w:t xml:space="preserve"> </w:t>
      </w:r>
      <w:r w:rsidR="000D59AF" w:rsidRPr="00EE57DA">
        <w:rPr>
          <w:rFonts w:ascii="GHEA Grapalat" w:eastAsia="GHEA Grapalat" w:hAnsi="GHEA Grapalat" w:cs="GHEA Grapalat"/>
          <w:sz w:val="22"/>
          <w:szCs w:val="22"/>
        </w:rPr>
        <w:t>և սպառման</w:t>
      </w:r>
      <w:r w:rsidR="00916508" w:rsidRPr="008040E9">
        <w:rPr>
          <w:rFonts w:ascii="GHEA Grapalat" w:eastAsia="GHEA Grapalat" w:hAnsi="GHEA Grapalat" w:cs="GHEA Grapalat"/>
          <w:sz w:val="22"/>
          <w:szCs w:val="22"/>
          <w:lang w:val="de-AT"/>
        </w:rPr>
        <w:t xml:space="preserve"> </w:t>
      </w:r>
      <w:r w:rsidRPr="00EE57DA">
        <w:rPr>
          <w:rFonts w:ascii="GHEA Grapalat" w:eastAsia="GHEA Grapalat" w:hAnsi="GHEA Grapalat" w:cs="GHEA Grapalat"/>
          <w:sz w:val="22"/>
          <w:szCs w:val="22"/>
        </w:rPr>
        <w:t>դրական ազդեցությունները:</w:t>
      </w:r>
      <w:r w:rsidRPr="00C96A7C">
        <w:rPr>
          <w:rFonts w:ascii="GHEA Grapalat" w:eastAsia="GHEA Grapalat" w:hAnsi="GHEA Grapalat" w:cs="GHEA Grapalat"/>
          <w:sz w:val="22"/>
          <w:szCs w:val="22"/>
        </w:rPr>
        <w:t xml:space="preserve"> </w:t>
      </w:r>
      <w:r w:rsidRPr="007B6752">
        <w:rPr>
          <w:rFonts w:ascii="GHEA Grapalat" w:eastAsia="GHEA Grapalat" w:hAnsi="GHEA Grapalat" w:cs="GHEA Grapalat"/>
          <w:sz w:val="22"/>
          <w:szCs w:val="22"/>
        </w:rPr>
        <w:t>Արդյունքում</w:t>
      </w:r>
      <w:r w:rsidR="00CA6DDB">
        <w:rPr>
          <w:rFonts w:ascii="GHEA Grapalat" w:eastAsia="GHEA Grapalat" w:hAnsi="GHEA Grapalat" w:cs="GHEA Grapalat"/>
          <w:sz w:val="22"/>
          <w:szCs w:val="22"/>
        </w:rPr>
        <w:t xml:space="preserve"> 2024</w:t>
      </w:r>
      <w:r w:rsidRPr="007B6752">
        <w:rPr>
          <w:rFonts w:ascii="GHEA Grapalat" w:eastAsia="GHEA Grapalat" w:hAnsi="GHEA Grapalat" w:cs="GHEA Grapalat"/>
          <w:sz w:val="22"/>
          <w:szCs w:val="22"/>
        </w:rPr>
        <w:t>թ</w:t>
      </w:r>
      <w:r w:rsidR="00CA6DDB">
        <w:rPr>
          <w:rFonts w:ascii="GHEA Grapalat" w:eastAsia="GHEA Grapalat" w:hAnsi="GHEA Grapalat" w:cs="GHEA Grapalat"/>
          <w:sz w:val="22"/>
          <w:szCs w:val="22"/>
        </w:rPr>
        <w:t>.</w:t>
      </w:r>
      <w:r w:rsidRPr="007B6752">
        <w:rPr>
          <w:rFonts w:ascii="GHEA Grapalat" w:eastAsia="GHEA Grapalat" w:hAnsi="GHEA Grapalat" w:cs="GHEA Grapalat"/>
          <w:sz w:val="22"/>
          <w:szCs w:val="22"/>
        </w:rPr>
        <w:t xml:space="preserve"> գրանցվել է </w:t>
      </w:r>
      <w:r w:rsidRPr="00F83E00">
        <w:rPr>
          <w:rFonts w:ascii="GHEA Grapalat" w:eastAsia="GHEA Grapalat" w:hAnsi="GHEA Grapalat" w:cs="GHEA Grapalat"/>
          <w:sz w:val="22"/>
          <w:szCs w:val="22"/>
        </w:rPr>
        <w:t>ՀՆԱ-ի 5.9% իրական աճ:</w:t>
      </w:r>
      <w:r w:rsidRPr="00EE57DA">
        <w:rPr>
          <w:rFonts w:ascii="GHEA Grapalat" w:eastAsia="GHEA Grapalat" w:hAnsi="GHEA Grapalat" w:cs="GHEA Grapalat"/>
          <w:sz w:val="22"/>
          <w:szCs w:val="22"/>
        </w:rPr>
        <w:t xml:space="preserve"> </w:t>
      </w:r>
      <w:r w:rsidRPr="00F83E00">
        <w:rPr>
          <w:rFonts w:ascii="GHEA Grapalat" w:eastAsia="GHEA Grapalat" w:hAnsi="GHEA Grapalat" w:cs="GHEA Grapalat"/>
          <w:sz w:val="22"/>
          <w:szCs w:val="22"/>
        </w:rPr>
        <w:t>Տնտեսական աճը պ</w:t>
      </w:r>
      <w:r w:rsidRPr="008656B5">
        <w:rPr>
          <w:rFonts w:ascii="GHEA Grapalat" w:eastAsia="GHEA Grapalat" w:hAnsi="GHEA Grapalat" w:cs="GHEA Grapalat"/>
          <w:sz w:val="22"/>
          <w:szCs w:val="22"/>
        </w:rPr>
        <w:t xml:space="preserve">այմանավորված է </w:t>
      </w:r>
      <w:r w:rsidRPr="00F83E00">
        <w:rPr>
          <w:rFonts w:ascii="GHEA Grapalat" w:eastAsia="GHEA Grapalat" w:hAnsi="GHEA Grapalat" w:cs="GHEA Grapalat"/>
          <w:sz w:val="22"/>
          <w:szCs w:val="22"/>
        </w:rPr>
        <w:t>եղել հիմնականում ծառայությունների աճով՝ (նպաստումը</w:t>
      </w:r>
      <w:r w:rsidRPr="00E43B4A">
        <w:rPr>
          <w:rFonts w:ascii="GHEA Grapalat" w:eastAsia="GHEA Grapalat" w:hAnsi="GHEA Grapalat" w:cs="GHEA Grapalat"/>
          <w:sz w:val="22"/>
          <w:szCs w:val="22"/>
        </w:rPr>
        <w:t>՝ 4.5 տոկոսային կետ): Տնտեսության մյուս ճյուղերը ևս աճել են՝ նպաստելով տնտեսական աճին (շինարարություն՝ 0.9, արդյունաբերություն՝ 0.5 և գյուղատնտեսություն՝ 0.1 տոկոսային կետեր):</w:t>
      </w:r>
    </w:p>
    <w:p w14:paraId="0F91ACAF" w14:textId="77777777" w:rsidR="00916508" w:rsidRPr="00EE57DA" w:rsidRDefault="00916508" w:rsidP="00575C6C">
      <w:pPr>
        <w:spacing w:line="276" w:lineRule="auto"/>
        <w:ind w:firstLine="567"/>
        <w:jc w:val="both"/>
        <w:rPr>
          <w:rFonts w:ascii="GHEA Grapalat" w:eastAsia="GHEA Grapalat" w:hAnsi="GHEA Grapalat" w:cs="GHEA Grapalat"/>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575C6C" w:rsidRPr="00E87496" w14:paraId="245646D1" w14:textId="77777777" w:rsidTr="00D70CAF">
        <w:trPr>
          <w:trHeight w:val="3846"/>
        </w:trPr>
        <w:tc>
          <w:tcPr>
            <w:tcW w:w="5376" w:type="dxa"/>
          </w:tcPr>
          <w:p w14:paraId="3E633FFD" w14:textId="75156A66" w:rsidR="00575C6C" w:rsidRPr="00E87496" w:rsidRDefault="00916508" w:rsidP="00665DCF">
            <w:pPr>
              <w:tabs>
                <w:tab w:val="right" w:pos="0"/>
              </w:tabs>
              <w:spacing w:after="0"/>
              <w:rPr>
                <w:rFonts w:ascii="GHEA Grapalat" w:hAnsi="GHEA Grapalat" w:cs="Sylfaen"/>
                <w:i/>
                <w:sz w:val="22"/>
                <w:szCs w:val="22"/>
                <w:highlight w:val="yellow"/>
              </w:rPr>
            </w:pPr>
            <w:r>
              <w:rPr>
                <w:rFonts w:ascii="GHEA Grapalat" w:hAnsi="GHEA Grapalat" w:cs="Sylfaen"/>
                <w:b/>
                <w:sz w:val="18"/>
                <w:szCs w:val="18"/>
              </w:rPr>
              <w:t xml:space="preserve">Գծապատկեր </w:t>
            </w:r>
            <w:r w:rsidR="00575C6C" w:rsidRPr="00673E4C">
              <w:rPr>
                <w:rFonts w:ascii="GHEA Grapalat" w:hAnsi="GHEA Grapalat" w:cs="Sylfaen"/>
                <w:b/>
                <w:sz w:val="18"/>
                <w:szCs w:val="18"/>
              </w:rPr>
              <w:t>4. ՀՆԱ-ի իրական աճը (%) և նպաստումները (տ.կ.) նախորդ տարվա նկատմամբ</w:t>
            </w:r>
            <w:r w:rsidR="00575C6C" w:rsidRPr="00EA57BE">
              <w:rPr>
                <w:rFonts w:ascii="GHEA Grapalat" w:hAnsi="GHEA Grapalat"/>
                <w:sz w:val="18"/>
                <w:lang w:val="en-US"/>
              </w:rPr>
              <w:drawing>
                <wp:inline distT="0" distB="0" distL="0" distR="0" wp14:anchorId="292608AE" wp14:editId="2E788F0C">
                  <wp:extent cx="3124200" cy="1809623"/>
                  <wp:effectExtent l="0" t="0" r="0" b="63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09AAA0D" w14:textId="77777777" w:rsidR="00575C6C" w:rsidRPr="00E87496" w:rsidRDefault="00575C6C" w:rsidP="00D70CAF">
            <w:pPr>
              <w:tabs>
                <w:tab w:val="right" w:pos="0"/>
              </w:tabs>
              <w:spacing w:after="60"/>
              <w:contextualSpacing/>
              <w:rPr>
                <w:rStyle w:val="Char0"/>
                <w:highlight w:val="yellow"/>
              </w:rPr>
            </w:pPr>
            <w:r w:rsidRPr="00740FD6">
              <w:rPr>
                <w:rFonts w:ascii="GHEA Grapalat" w:hAnsi="GHEA Grapalat"/>
                <w:i/>
                <w:sz w:val="16"/>
                <w:szCs w:val="16"/>
              </w:rPr>
              <w:t>Աղբյուր</w:t>
            </w:r>
            <w:r w:rsidRPr="00537553">
              <w:rPr>
                <w:rFonts w:ascii="GHEA Grapalat" w:hAnsi="GHEA Grapalat"/>
                <w:i/>
                <w:sz w:val="16"/>
                <w:szCs w:val="16"/>
              </w:rPr>
              <w:t>.</w:t>
            </w:r>
            <w:r w:rsidRPr="00740FD6">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740FD6">
              <w:rPr>
                <w:rFonts w:ascii="GHEA Grapalat" w:hAnsi="GHEA Grapalat"/>
                <w:i/>
                <w:sz w:val="16"/>
                <w:szCs w:val="16"/>
              </w:rPr>
              <w:t>, ՀՀ ՖՆ հաշվարկներ</w:t>
            </w:r>
          </w:p>
        </w:tc>
        <w:tc>
          <w:tcPr>
            <w:tcW w:w="5187" w:type="dxa"/>
          </w:tcPr>
          <w:p w14:paraId="055D6B2E" w14:textId="64C204AB" w:rsidR="00463E5A" w:rsidRDefault="00575C6C" w:rsidP="00665DCF">
            <w:pPr>
              <w:tabs>
                <w:tab w:val="right" w:pos="0"/>
              </w:tabs>
              <w:spacing w:after="0"/>
              <w:rPr>
                <w:rFonts w:ascii="GHEA Grapalat" w:hAnsi="GHEA Grapalat" w:cs="Sylfaen"/>
                <w:b/>
                <w:sz w:val="18"/>
                <w:szCs w:val="18"/>
              </w:rPr>
            </w:pPr>
            <w:r w:rsidRPr="00673E4C">
              <w:rPr>
                <w:rFonts w:ascii="GHEA Grapalat" w:hAnsi="GHEA Grapalat" w:cs="Sylfaen"/>
                <w:b/>
                <w:sz w:val="18"/>
                <w:szCs w:val="18"/>
              </w:rPr>
              <w:t xml:space="preserve">Գծապատկեր </w:t>
            </w:r>
            <w:r w:rsidRPr="00673E4C">
              <w:rPr>
                <w:rFonts w:ascii="GHEA Grapalat" w:hAnsi="GHEA Grapalat" w:cs="Sylfaen"/>
                <w:b/>
                <w:sz w:val="18"/>
                <w:szCs w:val="18"/>
                <w:lang w:val="en-US"/>
              </w:rPr>
              <w:t>5.</w:t>
            </w:r>
            <w:r w:rsidR="00B85C24">
              <w:rPr>
                <w:rFonts w:ascii="GHEA Grapalat" w:hAnsi="GHEA Grapalat" w:cs="Sylfaen"/>
                <w:b/>
                <w:sz w:val="18"/>
                <w:szCs w:val="18"/>
                <w:lang w:val="en-US"/>
              </w:rPr>
              <w:t xml:space="preserve"> </w:t>
            </w:r>
            <w:r w:rsidR="00463E5A">
              <w:rPr>
                <w:rFonts w:ascii="GHEA Grapalat" w:hAnsi="GHEA Grapalat" w:cs="Sylfaen"/>
                <w:b/>
                <w:sz w:val="18"/>
                <w:szCs w:val="18"/>
              </w:rPr>
              <w:t>ՀՆԱ-ի կառուցվածքը (%)</w:t>
            </w:r>
          </w:p>
          <w:p w14:paraId="72A03B4C" w14:textId="77777777" w:rsidR="00463E5A" w:rsidRPr="00673E4C" w:rsidRDefault="00463E5A" w:rsidP="00EE3973">
            <w:pPr>
              <w:tabs>
                <w:tab w:val="right" w:pos="0"/>
              </w:tabs>
              <w:spacing w:after="0" w:line="240" w:lineRule="auto"/>
              <w:rPr>
                <w:rFonts w:ascii="GHEA Grapalat" w:hAnsi="GHEA Grapalat" w:cs="Sylfaen"/>
                <w:b/>
                <w:sz w:val="18"/>
                <w:szCs w:val="18"/>
              </w:rPr>
            </w:pPr>
          </w:p>
          <w:p w14:paraId="350A81E6" w14:textId="77777777" w:rsidR="00575C6C" w:rsidRPr="00EA57BE" w:rsidRDefault="00575C6C" w:rsidP="00D70CAF">
            <w:pPr>
              <w:tabs>
                <w:tab w:val="right" w:pos="0"/>
              </w:tabs>
              <w:spacing w:before="120" w:after="60"/>
              <w:contextualSpacing/>
              <w:rPr>
                <w:rFonts w:ascii="GHEA Grapalat" w:hAnsi="GHEA Grapalat" w:cs="Sylfaen"/>
                <w:i/>
                <w:sz w:val="16"/>
                <w:szCs w:val="16"/>
              </w:rPr>
            </w:pPr>
            <w:r w:rsidRPr="00EA57BE">
              <w:rPr>
                <w:rFonts w:ascii="GHEA Grapalat" w:hAnsi="GHEA Grapalat"/>
                <w:sz w:val="16"/>
                <w:szCs w:val="16"/>
                <w:lang w:val="en-US"/>
              </w:rPr>
              <w:drawing>
                <wp:inline distT="0" distB="0" distL="0" distR="0" wp14:anchorId="18F752FA" wp14:editId="39698DF9">
                  <wp:extent cx="3124200" cy="1828165"/>
                  <wp:effectExtent l="0" t="0" r="0" b="63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F261DE8" w14:textId="77777777" w:rsidR="00575C6C" w:rsidRPr="00E87496" w:rsidRDefault="00575C6C" w:rsidP="00D70CAF">
            <w:pPr>
              <w:tabs>
                <w:tab w:val="right" w:pos="0"/>
              </w:tabs>
              <w:spacing w:before="120" w:after="60"/>
              <w:contextualSpacing/>
              <w:rPr>
                <w:rStyle w:val="Char0"/>
                <w:highlight w:val="yellow"/>
              </w:rPr>
            </w:pPr>
            <w:r>
              <w:rPr>
                <w:rFonts w:ascii="GHEA Grapalat" w:hAnsi="GHEA Grapalat"/>
                <w:i/>
                <w:sz w:val="16"/>
                <w:szCs w:val="16"/>
              </w:rPr>
              <w:t>Աղբյուր</w:t>
            </w:r>
            <w:r w:rsidRPr="00537553">
              <w:rPr>
                <w:rFonts w:ascii="GHEA Grapalat" w:hAnsi="GHEA Grapalat"/>
                <w:i/>
                <w:sz w:val="16"/>
                <w:szCs w:val="16"/>
              </w:rPr>
              <w:t>.</w:t>
            </w:r>
            <w:r w:rsidRPr="00740FD6">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740FD6">
              <w:rPr>
                <w:rFonts w:ascii="GHEA Grapalat" w:hAnsi="GHEA Grapalat"/>
                <w:i/>
                <w:sz w:val="16"/>
                <w:szCs w:val="16"/>
              </w:rPr>
              <w:t>, ՀՀ ՖՆ հաշվարկներ</w:t>
            </w:r>
          </w:p>
        </w:tc>
      </w:tr>
    </w:tbl>
    <w:p w14:paraId="1CE78B62" w14:textId="588F0980" w:rsidR="00575C6C" w:rsidRDefault="00CA6DDB" w:rsidP="002D74A5">
      <w:pPr>
        <w:spacing w:line="276" w:lineRule="auto"/>
        <w:ind w:firstLine="567"/>
        <w:jc w:val="both"/>
        <w:rPr>
          <w:rFonts w:ascii="GHEA Grapalat" w:eastAsia="GHEA Grapalat" w:hAnsi="GHEA Grapalat" w:cs="GHEA Grapalat"/>
          <w:sz w:val="22"/>
          <w:szCs w:val="22"/>
        </w:rPr>
      </w:pPr>
      <w:r w:rsidRPr="002D74A5">
        <w:rPr>
          <w:rFonts w:ascii="GHEA Grapalat" w:eastAsia="GHEA Grapalat" w:hAnsi="GHEA Grapalat" w:cs="GHEA Grapalat"/>
          <w:sz w:val="22"/>
          <w:szCs w:val="22"/>
        </w:rPr>
        <w:lastRenderedPageBreak/>
        <w:t>2024</w:t>
      </w:r>
      <w:r w:rsidR="00575C6C" w:rsidRPr="002D74A5">
        <w:rPr>
          <w:rFonts w:ascii="GHEA Grapalat" w:eastAsia="GHEA Grapalat" w:hAnsi="GHEA Grapalat" w:cs="GHEA Grapalat"/>
          <w:sz w:val="22"/>
          <w:szCs w:val="22"/>
        </w:rPr>
        <w:t>թ</w:t>
      </w:r>
      <w:r w:rsidRPr="002D74A5">
        <w:rPr>
          <w:rFonts w:ascii="GHEA Grapalat" w:eastAsia="GHEA Grapalat" w:hAnsi="GHEA Grapalat" w:cs="GHEA Grapalat"/>
          <w:sz w:val="22"/>
          <w:szCs w:val="22"/>
        </w:rPr>
        <w:t>.</w:t>
      </w:r>
      <w:r w:rsidR="00575C6C" w:rsidRPr="002D74A5">
        <w:rPr>
          <w:rFonts w:ascii="GHEA Grapalat" w:eastAsia="GHEA Grapalat" w:hAnsi="GHEA Grapalat" w:cs="GHEA Grapalat"/>
          <w:sz w:val="22"/>
          <w:szCs w:val="22"/>
        </w:rPr>
        <w:t xml:space="preserve"> նախորդ տարվա համեմատ գրանցվել է տնտեսական ակտիվության ցուցանիշի (այսուհետ՝ ՏԱՑ) 8% աճ </w:t>
      </w:r>
      <w:r w:rsidR="00575C6C" w:rsidRPr="00143A1A">
        <w:rPr>
          <w:rFonts w:ascii="GHEA Grapalat" w:eastAsia="GHEA Grapalat" w:hAnsi="GHEA Grapalat" w:cs="GHEA Grapalat"/>
          <w:sz w:val="22"/>
          <w:szCs w:val="22"/>
        </w:rPr>
        <w:t xml:space="preserve">(Գծապատկերներ </w:t>
      </w:r>
      <w:r w:rsidR="00AA1060" w:rsidRPr="002D74A5">
        <w:rPr>
          <w:rFonts w:ascii="GHEA Grapalat" w:eastAsia="GHEA Grapalat" w:hAnsi="GHEA Grapalat" w:cs="GHEA Grapalat"/>
          <w:sz w:val="22"/>
          <w:szCs w:val="22"/>
        </w:rPr>
        <w:t>6-9</w:t>
      </w:r>
      <w:r w:rsidR="00575C6C" w:rsidRPr="00143A1A">
        <w:rPr>
          <w:rFonts w:ascii="GHEA Grapalat" w:eastAsia="GHEA Grapalat" w:hAnsi="GHEA Grapalat" w:cs="GHEA Grapalat"/>
          <w:sz w:val="22"/>
          <w:szCs w:val="22"/>
        </w:rPr>
        <w:t xml:space="preserve">)։ </w:t>
      </w:r>
      <w:r w:rsidR="00575C6C" w:rsidRPr="008374B6">
        <w:rPr>
          <w:rFonts w:ascii="GHEA Grapalat" w:eastAsia="GHEA Grapalat" w:hAnsi="GHEA Grapalat" w:cs="GHEA Grapalat"/>
          <w:sz w:val="22"/>
          <w:szCs w:val="22"/>
        </w:rPr>
        <w:t xml:space="preserve">Տնտեսական ակտիվության աճը </w:t>
      </w:r>
      <w:r w:rsidR="00575C6C" w:rsidRPr="002D74A5">
        <w:rPr>
          <w:rFonts w:ascii="GHEA Grapalat" w:eastAsia="GHEA Grapalat" w:hAnsi="GHEA Grapalat" w:cs="GHEA Grapalat"/>
          <w:sz w:val="22"/>
          <w:szCs w:val="22"/>
        </w:rPr>
        <w:t xml:space="preserve">հիմնականում պայմանավորված է եղել ծառայությունների և առևտրի աճերով </w:t>
      </w:r>
      <w:r w:rsidR="00575C6C" w:rsidRPr="00284B53">
        <w:rPr>
          <w:rFonts w:ascii="GHEA Grapalat" w:eastAsia="GHEA Grapalat" w:hAnsi="GHEA Grapalat" w:cs="GHEA Grapalat"/>
          <w:sz w:val="22"/>
          <w:szCs w:val="22"/>
        </w:rPr>
        <w:t xml:space="preserve">(նպաստումները` համապատասխանաբար 5.4 և 2.4 տոկոսային կետեր): </w:t>
      </w:r>
      <w:r w:rsidR="00575C6C" w:rsidRPr="0027664B">
        <w:rPr>
          <w:rFonts w:ascii="GHEA Grapalat" w:eastAsia="GHEA Grapalat" w:hAnsi="GHEA Grapalat" w:cs="GHEA Grapalat"/>
          <w:sz w:val="22"/>
          <w:szCs w:val="22"/>
        </w:rPr>
        <w:t>Շինարարության, արդյունաբերության և գյուղատնտեսության աճերը ևս նպաստել են տնտեսական ակտիվությանը (համապատասխանաբար 1.1, 0.8 և 0.1 տոկոսային կետեր):</w:t>
      </w:r>
    </w:p>
    <w:p w14:paraId="79DADEB4" w14:textId="1E0A48F1" w:rsidR="00575C6C" w:rsidRPr="00F75B96" w:rsidRDefault="00575C6C" w:rsidP="00575C6C">
      <w:pPr>
        <w:spacing w:line="276" w:lineRule="auto"/>
        <w:ind w:firstLine="567"/>
        <w:jc w:val="both"/>
        <w:rPr>
          <w:rFonts w:ascii="GHEA Grapalat" w:eastAsia="GHEA Grapalat" w:hAnsi="GHEA Grapalat" w:cs="GHEA Grapalat"/>
          <w:sz w:val="22"/>
          <w:szCs w:val="22"/>
        </w:rPr>
      </w:pPr>
      <w:r w:rsidRPr="00F75B96">
        <w:rPr>
          <w:rFonts w:ascii="GHEA Grapalat" w:eastAsia="GHEA Grapalat" w:hAnsi="GHEA Grapalat" w:cs="GHEA Grapalat"/>
          <w:sz w:val="22"/>
          <w:szCs w:val="22"/>
        </w:rPr>
        <w:t xml:space="preserve">Տնտեսական զարգացումներին իր դրական նպաստումն է շարունակել ունենալ բնակարանային շինարարության ոլորտի բարձր աշխուժությունը, որին նպաստել է </w:t>
      </w:r>
      <w:r w:rsidR="009C150D">
        <w:rPr>
          <w:rFonts w:ascii="GHEA Grapalat" w:eastAsia="GHEA Grapalat" w:hAnsi="GHEA Grapalat" w:cs="GHEA Grapalat"/>
          <w:sz w:val="22"/>
          <w:szCs w:val="22"/>
        </w:rPr>
        <w:t xml:space="preserve"> հիպոտեկ</w:t>
      </w:r>
      <w:r w:rsidRPr="00F75B96">
        <w:rPr>
          <w:rFonts w:ascii="GHEA Grapalat" w:eastAsia="GHEA Grapalat" w:hAnsi="GHEA Grapalat" w:cs="GHEA Grapalat"/>
          <w:sz w:val="22"/>
          <w:szCs w:val="22"/>
        </w:rPr>
        <w:t>ային վարկերի տոկոսավճարների</w:t>
      </w:r>
      <w:r>
        <w:rPr>
          <w:rFonts w:ascii="GHEA Grapalat" w:eastAsia="GHEA Grapalat" w:hAnsi="GHEA Grapalat" w:cs="GHEA Grapalat"/>
          <w:sz w:val="22"/>
          <w:szCs w:val="22"/>
        </w:rPr>
        <w:t xml:space="preserve"> դիմաց</w:t>
      </w:r>
      <w:r w:rsidRPr="00F75B96">
        <w:rPr>
          <w:rFonts w:ascii="GHEA Grapalat" w:eastAsia="GHEA Grapalat" w:hAnsi="GHEA Grapalat" w:cs="GHEA Grapalat"/>
          <w:sz w:val="22"/>
          <w:szCs w:val="22"/>
        </w:rPr>
        <w:t xml:space="preserve"> եկամտա</w:t>
      </w:r>
      <w:r>
        <w:rPr>
          <w:rFonts w:ascii="GHEA Grapalat" w:eastAsia="GHEA Grapalat" w:hAnsi="GHEA Grapalat" w:cs="GHEA Grapalat"/>
          <w:sz w:val="22"/>
          <w:szCs w:val="22"/>
        </w:rPr>
        <w:t xml:space="preserve">յին հարկի </w:t>
      </w:r>
      <w:r w:rsidRPr="00F75B96">
        <w:rPr>
          <w:rFonts w:ascii="GHEA Grapalat" w:eastAsia="GHEA Grapalat" w:hAnsi="GHEA Grapalat" w:cs="GHEA Grapalat"/>
          <w:sz w:val="22"/>
          <w:szCs w:val="22"/>
        </w:rPr>
        <w:t>վերադարձ</w:t>
      </w:r>
      <w:r>
        <w:rPr>
          <w:rFonts w:ascii="GHEA Grapalat" w:eastAsia="GHEA Grapalat" w:hAnsi="GHEA Grapalat" w:cs="GHEA Grapalat"/>
          <w:sz w:val="22"/>
          <w:szCs w:val="22"/>
        </w:rPr>
        <w:t>ի</w:t>
      </w:r>
      <w:r w:rsidRPr="00F75B96">
        <w:rPr>
          <w:rFonts w:ascii="GHEA Grapalat" w:eastAsia="GHEA Grapalat" w:hAnsi="GHEA Grapalat" w:cs="GHEA Grapalat"/>
          <w:sz w:val="22"/>
          <w:szCs w:val="22"/>
        </w:rPr>
        <w:t xml:space="preserve"> ծրագիրը</w:t>
      </w:r>
      <w:r>
        <w:rPr>
          <w:rFonts w:ascii="GHEA Grapalat" w:eastAsia="GHEA Grapalat" w:hAnsi="GHEA Grapalat" w:cs="GHEA Grapalat"/>
          <w:sz w:val="22"/>
          <w:szCs w:val="22"/>
        </w:rPr>
        <w:t xml:space="preserve"> և</w:t>
      </w:r>
      <w:r w:rsidRPr="00F75B96">
        <w:rPr>
          <w:rFonts w:ascii="GHEA Grapalat" w:eastAsia="GHEA Grapalat" w:hAnsi="GHEA Grapalat" w:cs="GHEA Grapalat"/>
          <w:sz w:val="22"/>
          <w:szCs w:val="22"/>
        </w:rPr>
        <w:t xml:space="preserve"> ծրագրի՝ Երևան քաղաքից աստիճանական դուրսբերման մասով կատարված օրենսդրական փոփոխությունները՝ ձևավորելով նորակառույց բնակարանների և բնակելի տների նկատմամբ բարձր պահանջարկ:</w:t>
      </w:r>
    </w:p>
    <w:p w14:paraId="5C9E90C1" w14:textId="312A9B02" w:rsidR="00575C6C" w:rsidRPr="002D74A5" w:rsidRDefault="00CA6DDB" w:rsidP="00575C6C">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2023</w:t>
      </w:r>
      <w:r w:rsidR="00575C6C" w:rsidRPr="00F75B96">
        <w:rPr>
          <w:rFonts w:ascii="GHEA Grapalat" w:eastAsia="GHEA Grapalat" w:hAnsi="GHEA Grapalat" w:cs="GHEA Grapalat"/>
          <w:sz w:val="22"/>
          <w:szCs w:val="22"/>
        </w:rPr>
        <w:t>թ</w:t>
      </w:r>
      <w:r>
        <w:rPr>
          <w:rFonts w:ascii="GHEA Grapalat" w:eastAsia="GHEA Grapalat" w:hAnsi="GHEA Grapalat" w:cs="GHEA Grapalat"/>
          <w:sz w:val="22"/>
          <w:szCs w:val="22"/>
        </w:rPr>
        <w:t>.</w:t>
      </w:r>
      <w:r w:rsidR="00575C6C" w:rsidRPr="00F75B96">
        <w:rPr>
          <w:rFonts w:ascii="GHEA Grapalat" w:eastAsia="GHEA Grapalat" w:hAnsi="GHEA Grapalat" w:cs="GHEA Grapalat"/>
          <w:sz w:val="22"/>
          <w:szCs w:val="22"/>
        </w:rPr>
        <w:t xml:space="preserve"> 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w:t>
      </w:r>
      <w:r w:rsidR="00575C6C">
        <w:rPr>
          <w:rFonts w:ascii="GHEA Grapalat" w:eastAsia="GHEA Grapalat" w:hAnsi="GHEA Grapalat" w:cs="GHEA Grapalat"/>
          <w:sz w:val="22"/>
          <w:szCs w:val="22"/>
        </w:rPr>
        <w:t xml:space="preserve">և ՀՀ տնտեսությանն աստիճանական ինտեգրման </w:t>
      </w:r>
      <w:r w:rsidR="00575C6C" w:rsidRPr="00F75B96">
        <w:rPr>
          <w:rFonts w:ascii="GHEA Grapalat" w:eastAsia="GHEA Grapalat" w:hAnsi="GHEA Grapalat" w:cs="GHEA Grapalat"/>
          <w:sz w:val="22"/>
          <w:szCs w:val="22"/>
        </w:rPr>
        <w:t>արդյունքում դրական ազդեցություն</w:t>
      </w:r>
      <w:r w:rsidR="00575C6C">
        <w:rPr>
          <w:rFonts w:ascii="GHEA Grapalat" w:eastAsia="GHEA Grapalat" w:hAnsi="GHEA Grapalat" w:cs="GHEA Grapalat"/>
          <w:sz w:val="22"/>
          <w:szCs w:val="22"/>
        </w:rPr>
        <w:t>ներ են առաջացել ինչպես ամբողջական պահանջարկի, այնպես էլ ամբողջական առաջարկի վրա</w:t>
      </w:r>
      <w:r w:rsidR="00575C6C" w:rsidRPr="00F75B96">
        <w:rPr>
          <w:rFonts w:ascii="GHEA Grapalat" w:eastAsia="GHEA Grapalat" w:hAnsi="GHEA Grapalat" w:cs="GHEA Grapalat"/>
          <w:sz w:val="22"/>
          <w:szCs w:val="22"/>
        </w:rPr>
        <w:t>։</w:t>
      </w:r>
    </w:p>
    <w:p w14:paraId="4A243592" w14:textId="6F39863A" w:rsidR="00575C6C" w:rsidRPr="00AF209C" w:rsidRDefault="00575C6C" w:rsidP="00575C6C">
      <w:pPr>
        <w:spacing w:line="276" w:lineRule="auto"/>
        <w:ind w:firstLine="567"/>
        <w:jc w:val="both"/>
        <w:rPr>
          <w:rFonts w:ascii="GHEA Grapalat" w:eastAsia="GHEA Grapalat" w:hAnsi="GHEA Grapalat" w:cs="GHEA Grapalat"/>
          <w:sz w:val="22"/>
          <w:szCs w:val="22"/>
        </w:rPr>
      </w:pPr>
      <w:r w:rsidRPr="00D163D8">
        <w:rPr>
          <w:rFonts w:ascii="GHEA Grapalat" w:eastAsia="GHEA Grapalat" w:hAnsi="GHEA Grapalat" w:cs="GHEA Grapalat"/>
          <w:b/>
          <w:i/>
          <w:iCs/>
          <w:sz w:val="22"/>
          <w:szCs w:val="22"/>
        </w:rPr>
        <w:t>Արդյունաբերություն</w:t>
      </w:r>
      <w:r w:rsidRPr="00D163D8">
        <w:rPr>
          <w:rFonts w:ascii="GHEA Grapalat" w:eastAsia="GHEA Grapalat" w:hAnsi="GHEA Grapalat" w:cs="GHEA Grapalat"/>
          <w:bCs/>
          <w:sz w:val="22"/>
          <w:szCs w:val="22"/>
          <w:vertAlign w:val="superscript"/>
        </w:rPr>
        <w:footnoteReference w:id="9"/>
      </w:r>
      <w:r w:rsidRPr="00D163D8">
        <w:rPr>
          <w:rFonts w:ascii="GHEA Grapalat" w:eastAsia="GHEA Grapalat" w:hAnsi="GHEA Grapalat" w:cs="GHEA Grapalat"/>
          <w:b/>
          <w:i/>
          <w:iCs/>
          <w:sz w:val="22"/>
          <w:szCs w:val="22"/>
        </w:rPr>
        <w:t>։</w:t>
      </w:r>
      <w:r w:rsidRPr="00D163D8">
        <w:rPr>
          <w:rFonts w:ascii="GHEA Grapalat" w:eastAsia="GHEA Grapalat" w:hAnsi="GHEA Grapalat" w:cs="GHEA Grapalat"/>
          <w:b/>
          <w:sz w:val="22"/>
          <w:szCs w:val="22"/>
        </w:rPr>
        <w:t xml:space="preserve"> </w:t>
      </w:r>
      <w:r w:rsidRPr="00351CB4">
        <w:rPr>
          <w:rFonts w:ascii="GHEA Grapalat" w:eastAsia="GHEA Grapalat" w:hAnsi="GHEA Grapalat" w:cs="GHEA Grapalat"/>
          <w:sz w:val="22"/>
          <w:szCs w:val="22"/>
        </w:rPr>
        <w:t>Արդյունաբերության՝ դեռևս</w:t>
      </w:r>
      <w:r w:rsidR="00CA6DDB">
        <w:rPr>
          <w:rFonts w:ascii="GHEA Grapalat" w:eastAsia="GHEA Grapalat" w:hAnsi="GHEA Grapalat" w:cs="GHEA Grapalat"/>
          <w:sz w:val="22"/>
          <w:szCs w:val="22"/>
        </w:rPr>
        <w:t xml:space="preserve"> 2023</w:t>
      </w:r>
      <w:r w:rsidRPr="00351CB4">
        <w:rPr>
          <w:rFonts w:ascii="GHEA Grapalat" w:eastAsia="GHEA Grapalat" w:hAnsi="GHEA Grapalat" w:cs="GHEA Grapalat"/>
          <w:sz w:val="22"/>
          <w:szCs w:val="22"/>
        </w:rPr>
        <w:t>թ</w:t>
      </w:r>
      <w:r w:rsidR="00CA6DDB">
        <w:rPr>
          <w:rFonts w:ascii="GHEA Grapalat" w:eastAsia="GHEA Grapalat" w:hAnsi="GHEA Grapalat" w:cs="GHEA Grapalat"/>
          <w:sz w:val="22"/>
          <w:szCs w:val="22"/>
        </w:rPr>
        <w:t>.</w:t>
      </w:r>
      <w:r w:rsidRPr="00351CB4">
        <w:rPr>
          <w:rFonts w:ascii="GHEA Grapalat" w:eastAsia="GHEA Grapalat" w:hAnsi="GHEA Grapalat" w:cs="GHEA Grapalat"/>
          <w:sz w:val="22"/>
          <w:szCs w:val="22"/>
        </w:rPr>
        <w:t xml:space="preserve"> նոյեմբերից սկիզբ առած բարձր աճի տեմպերն ապրիլից սկսել են կտրուկ դանդաղել և նոյեմբեր-դեկտեմբեր ամիսներին նույնիսկ զգալիորեն նվազել՝ հիմնականում պայմանավորված ոսկերչական արտադրատեսակների և հիմնային մետաղների արտադրության աճի տեմպերի դանդաղմամբ և</w:t>
      </w:r>
      <w:r>
        <w:rPr>
          <w:rFonts w:ascii="GHEA Grapalat" w:eastAsia="GHEA Grapalat" w:hAnsi="GHEA Grapalat" w:cs="GHEA Grapalat"/>
          <w:sz w:val="22"/>
          <w:szCs w:val="22"/>
        </w:rPr>
        <w:t xml:space="preserve"> նոյեմբեր-դեկտեմբեր ամիսներին </w:t>
      </w:r>
      <w:r w:rsidRPr="00351CB4">
        <w:rPr>
          <w:rFonts w:ascii="GHEA Grapalat" w:eastAsia="GHEA Grapalat" w:hAnsi="GHEA Grapalat" w:cs="GHEA Grapalat"/>
          <w:sz w:val="22"/>
          <w:szCs w:val="22"/>
        </w:rPr>
        <w:t>նվազմամբ</w:t>
      </w:r>
      <w:r>
        <w:rPr>
          <w:rFonts w:ascii="GHEA Grapalat" w:eastAsia="GHEA Grapalat" w:hAnsi="GHEA Grapalat" w:cs="GHEA Grapalat"/>
          <w:sz w:val="22"/>
          <w:szCs w:val="22"/>
        </w:rPr>
        <w:t>՝ պայմանավորված նախորդ տարվա բարձր բազայով</w:t>
      </w:r>
      <w:r w:rsidRPr="00351CB4">
        <w:rPr>
          <w:rFonts w:ascii="GHEA Grapalat" w:eastAsia="GHEA Grapalat" w:hAnsi="GHEA Grapalat" w:cs="GHEA Grapalat"/>
          <w:sz w:val="22"/>
          <w:szCs w:val="22"/>
        </w:rPr>
        <w:t xml:space="preserve">: </w:t>
      </w:r>
      <w:r w:rsidRPr="00CA6434">
        <w:rPr>
          <w:rFonts w:ascii="GHEA Grapalat" w:eastAsia="GHEA Grapalat" w:hAnsi="GHEA Grapalat" w:cs="GHEA Grapalat"/>
          <w:sz w:val="22"/>
          <w:szCs w:val="22"/>
        </w:rPr>
        <w:t>Այնուամենայնիվ</w:t>
      </w:r>
      <w:r w:rsidR="00E0512F">
        <w:rPr>
          <w:rFonts w:ascii="GHEA Grapalat" w:eastAsia="GHEA Grapalat" w:hAnsi="GHEA Grapalat" w:cs="GHEA Grapalat"/>
          <w:sz w:val="22"/>
          <w:szCs w:val="22"/>
        </w:rPr>
        <w:t>, 2024</w:t>
      </w:r>
      <w:r w:rsidRPr="00CA6434">
        <w:rPr>
          <w:rFonts w:ascii="GHEA Grapalat" w:eastAsia="GHEA Grapalat" w:hAnsi="GHEA Grapalat" w:cs="GHEA Grapalat"/>
          <w:sz w:val="22"/>
          <w:szCs w:val="22"/>
        </w:rPr>
        <w:t>թ</w:t>
      </w:r>
      <w:r w:rsidR="00E0512F">
        <w:rPr>
          <w:rFonts w:ascii="GHEA Grapalat" w:eastAsia="GHEA Grapalat" w:hAnsi="GHEA Grapalat" w:cs="GHEA Grapalat"/>
          <w:sz w:val="22"/>
          <w:szCs w:val="22"/>
        </w:rPr>
        <w:t>.</w:t>
      </w:r>
      <w:r w:rsidRPr="00CA6434">
        <w:rPr>
          <w:rFonts w:ascii="GHEA Grapalat" w:eastAsia="GHEA Grapalat" w:hAnsi="GHEA Grapalat" w:cs="GHEA Grapalat"/>
          <w:sz w:val="22"/>
          <w:szCs w:val="22"/>
        </w:rPr>
        <w:t xml:space="preserve"> արդյունաբերության ճյուղում գրանցվել</w:t>
      </w:r>
      <w:r>
        <w:rPr>
          <w:rFonts w:ascii="GHEA Grapalat" w:eastAsia="GHEA Grapalat" w:hAnsi="GHEA Grapalat" w:cs="GHEA Grapalat"/>
          <w:sz w:val="22"/>
          <w:szCs w:val="22"/>
        </w:rPr>
        <w:t xml:space="preserve"> է</w:t>
      </w:r>
      <w:r w:rsidRPr="00CA6434">
        <w:rPr>
          <w:rFonts w:ascii="GHEA Grapalat" w:eastAsia="GHEA Grapalat" w:hAnsi="GHEA Grapalat" w:cs="GHEA Grapalat"/>
          <w:sz w:val="22"/>
          <w:szCs w:val="22"/>
        </w:rPr>
        <w:t xml:space="preserve"> </w:t>
      </w:r>
      <w:r w:rsidRPr="00B25A56">
        <w:rPr>
          <w:rFonts w:ascii="GHEA Grapalat" w:eastAsia="GHEA Grapalat" w:hAnsi="GHEA Grapalat" w:cs="GHEA Grapalat"/>
          <w:sz w:val="22"/>
          <w:szCs w:val="22"/>
        </w:rPr>
        <w:t xml:space="preserve">4.7% թողարկման աճ՝ </w:t>
      </w:r>
      <w:r w:rsidRPr="00AA7955">
        <w:rPr>
          <w:rFonts w:ascii="GHEA Grapalat" w:eastAsia="GHEA Grapalat" w:hAnsi="GHEA Grapalat" w:cs="GHEA Grapalat"/>
          <w:sz w:val="22"/>
          <w:szCs w:val="22"/>
        </w:rPr>
        <w:t xml:space="preserve">պայմանավորված հիմնականում մշակող արդյունաբերության աճով (նպաստումը՝ 4.6 տոկոսային կետ): </w:t>
      </w:r>
      <w:r w:rsidRPr="006218BB">
        <w:rPr>
          <w:rFonts w:ascii="GHEA Grapalat" w:eastAsia="GHEA Grapalat" w:hAnsi="GHEA Grapalat" w:cs="GHEA Grapalat"/>
          <w:sz w:val="22"/>
          <w:szCs w:val="22"/>
        </w:rPr>
        <w:t xml:space="preserve">Արդյունաբերության աճին նպաստել է նաև </w:t>
      </w:r>
      <w:r w:rsidRPr="007075EC">
        <w:rPr>
          <w:rFonts w:ascii="GHEA Grapalat" w:eastAsia="GHEA Grapalat" w:hAnsi="GHEA Grapalat" w:cs="GHEA Grapalat"/>
          <w:sz w:val="22"/>
          <w:szCs w:val="22"/>
        </w:rPr>
        <w:t>էլեկտրաէներգիայի, գազի, գոլորշու և լավորակ օդի մատակարարում</w:t>
      </w:r>
      <w:r w:rsidRPr="006218BB">
        <w:rPr>
          <w:rFonts w:ascii="GHEA Grapalat" w:eastAsia="GHEA Grapalat" w:hAnsi="GHEA Grapalat" w:cs="GHEA Grapalat"/>
          <w:sz w:val="22"/>
          <w:szCs w:val="22"/>
        </w:rPr>
        <w:t xml:space="preserve"> ենթաճյուղի աճը (նպաստումը` 1.</w:t>
      </w:r>
      <w:r>
        <w:rPr>
          <w:rFonts w:ascii="GHEA Grapalat" w:eastAsia="GHEA Grapalat" w:hAnsi="GHEA Grapalat" w:cs="GHEA Grapalat"/>
          <w:sz w:val="22"/>
          <w:szCs w:val="22"/>
        </w:rPr>
        <w:t>5</w:t>
      </w:r>
      <w:r w:rsidRPr="006218BB">
        <w:rPr>
          <w:rFonts w:ascii="GHEA Grapalat" w:eastAsia="GHEA Grapalat" w:hAnsi="GHEA Grapalat" w:cs="GHEA Grapalat"/>
          <w:sz w:val="22"/>
          <w:szCs w:val="22"/>
        </w:rPr>
        <w:t xml:space="preserve"> տոկոսային կետ): </w:t>
      </w:r>
      <w:r>
        <w:rPr>
          <w:rFonts w:ascii="GHEA Grapalat" w:eastAsia="GHEA Grapalat" w:hAnsi="GHEA Grapalat" w:cs="GHEA Grapalat"/>
          <w:sz w:val="22"/>
          <w:szCs w:val="22"/>
        </w:rPr>
        <w:t>Միաժամանակ, հ</w:t>
      </w:r>
      <w:r w:rsidRPr="0031188E">
        <w:rPr>
          <w:rFonts w:ascii="GHEA Grapalat" w:eastAsia="GHEA Grapalat" w:hAnsi="GHEA Grapalat" w:cs="GHEA Grapalat"/>
          <w:sz w:val="22"/>
          <w:szCs w:val="22"/>
        </w:rPr>
        <w:t>անքագործական արդյունաբերություն և բացահանքերի շահագործում ենթաճյուղը նվազել է՝ հակազդելով արդյունաբերության ճյուղի աճին (նպաստումը՝ 1.4 տոկոսային կետ):</w:t>
      </w:r>
      <w:r>
        <w:rPr>
          <w:rFonts w:ascii="GHEA Grapalat" w:eastAsia="GHEA Grapalat" w:hAnsi="GHEA Grapalat" w:cs="GHEA Grapalat"/>
          <w:sz w:val="22"/>
          <w:szCs w:val="22"/>
        </w:rPr>
        <w:t xml:space="preserve"> </w:t>
      </w:r>
      <w:r w:rsidRPr="00AF209C">
        <w:rPr>
          <w:rFonts w:ascii="GHEA Grapalat" w:eastAsia="GHEA Grapalat" w:hAnsi="GHEA Grapalat" w:cs="GHEA Grapalat"/>
          <w:sz w:val="22"/>
          <w:szCs w:val="22"/>
        </w:rPr>
        <w:t>Ենթաճյուղի նվազումը պայմանավորված է եղել մետաղական հանքաքարի արդյունահանման նվազմամբ:</w:t>
      </w:r>
    </w:p>
    <w:p w14:paraId="6A280CBC" w14:textId="78E32E3E" w:rsidR="00575C6C" w:rsidRPr="00404273" w:rsidRDefault="00575C6C" w:rsidP="00575C6C">
      <w:pPr>
        <w:spacing w:line="276" w:lineRule="auto"/>
        <w:ind w:firstLine="567"/>
        <w:jc w:val="both"/>
        <w:rPr>
          <w:rFonts w:ascii="GHEA Grapalat" w:eastAsia="GHEA Grapalat" w:hAnsi="GHEA Grapalat" w:cs="GHEA Grapalat"/>
          <w:sz w:val="22"/>
          <w:szCs w:val="22"/>
          <w:highlight w:val="lightGray"/>
        </w:rPr>
      </w:pPr>
      <w:r w:rsidRPr="002C34E7">
        <w:rPr>
          <w:rFonts w:ascii="GHEA Grapalat" w:eastAsia="GHEA Grapalat" w:hAnsi="GHEA Grapalat" w:cs="GHEA Grapalat"/>
          <w:sz w:val="22"/>
          <w:szCs w:val="22"/>
        </w:rPr>
        <w:t xml:space="preserve">Մշակող արդյունաբերության աճին հիմնականում նպաստել է արտաքին պահանջարկի աճը: </w:t>
      </w:r>
      <w:r w:rsidRPr="00C438D9">
        <w:rPr>
          <w:rFonts w:ascii="GHEA Grapalat" w:eastAsia="GHEA Grapalat" w:hAnsi="GHEA Grapalat" w:cs="GHEA Grapalat"/>
          <w:sz w:val="22"/>
          <w:szCs w:val="22"/>
        </w:rPr>
        <w:t>Ենթաճյուղի աճը հիմնականում պայմանավորված է եղել հիմնային մետաղների</w:t>
      </w:r>
      <w:r>
        <w:rPr>
          <w:rFonts w:ascii="GHEA Grapalat" w:eastAsia="GHEA Grapalat" w:hAnsi="GHEA Grapalat" w:cs="GHEA Grapalat"/>
          <w:sz w:val="22"/>
          <w:szCs w:val="22"/>
        </w:rPr>
        <w:t xml:space="preserve">, սննդամթերքի և ծխախոտային արտադրատեսակների </w:t>
      </w:r>
      <w:r w:rsidRPr="00C438D9">
        <w:rPr>
          <w:rFonts w:ascii="GHEA Grapalat" w:eastAsia="GHEA Grapalat" w:hAnsi="GHEA Grapalat" w:cs="GHEA Grapalat"/>
          <w:sz w:val="22"/>
          <w:szCs w:val="22"/>
        </w:rPr>
        <w:t>(նպաստում</w:t>
      </w:r>
      <w:r>
        <w:rPr>
          <w:rFonts w:ascii="GHEA Grapalat" w:eastAsia="GHEA Grapalat" w:hAnsi="GHEA Grapalat" w:cs="GHEA Grapalat"/>
          <w:sz w:val="22"/>
          <w:szCs w:val="22"/>
        </w:rPr>
        <w:t>ներ</w:t>
      </w:r>
      <w:r w:rsidRPr="00C438D9">
        <w:rPr>
          <w:rFonts w:ascii="GHEA Grapalat" w:eastAsia="GHEA Grapalat" w:hAnsi="GHEA Grapalat" w:cs="GHEA Grapalat"/>
          <w:sz w:val="22"/>
          <w:szCs w:val="22"/>
        </w:rPr>
        <w:t xml:space="preserve">ը` </w:t>
      </w:r>
      <w:r>
        <w:rPr>
          <w:rFonts w:ascii="GHEA Grapalat" w:eastAsia="GHEA Grapalat" w:hAnsi="GHEA Grapalat" w:cs="GHEA Grapalat"/>
          <w:sz w:val="22"/>
          <w:szCs w:val="22"/>
        </w:rPr>
        <w:t xml:space="preserve">համապատասխանաբար՝ </w:t>
      </w:r>
      <w:r w:rsidRPr="00C438D9">
        <w:rPr>
          <w:rFonts w:ascii="GHEA Grapalat" w:eastAsia="GHEA Grapalat" w:hAnsi="GHEA Grapalat" w:cs="GHEA Grapalat"/>
          <w:sz w:val="22"/>
          <w:szCs w:val="22"/>
        </w:rPr>
        <w:t>5.9</w:t>
      </w:r>
      <w:r>
        <w:rPr>
          <w:rFonts w:ascii="GHEA Grapalat" w:eastAsia="GHEA Grapalat" w:hAnsi="GHEA Grapalat" w:cs="GHEA Grapalat"/>
          <w:sz w:val="22"/>
          <w:szCs w:val="22"/>
        </w:rPr>
        <w:t>, 1</w:t>
      </w:r>
      <w:r w:rsidRPr="00C438D9">
        <w:rPr>
          <w:rFonts w:ascii="GHEA Grapalat" w:eastAsia="GHEA Grapalat" w:hAnsi="GHEA Grapalat" w:cs="GHEA Grapalat"/>
          <w:sz w:val="22"/>
          <w:szCs w:val="22"/>
        </w:rPr>
        <w:t xml:space="preserve">.9 </w:t>
      </w:r>
      <w:r>
        <w:rPr>
          <w:rFonts w:ascii="GHEA Grapalat" w:eastAsia="GHEA Grapalat" w:hAnsi="GHEA Grapalat" w:cs="GHEA Grapalat"/>
          <w:sz w:val="22"/>
          <w:szCs w:val="22"/>
        </w:rPr>
        <w:t>և</w:t>
      </w:r>
      <w:r w:rsidRPr="00C438D9">
        <w:rPr>
          <w:rFonts w:ascii="GHEA Grapalat" w:eastAsia="GHEA Grapalat" w:hAnsi="GHEA Grapalat" w:cs="GHEA Grapalat"/>
          <w:sz w:val="22"/>
          <w:szCs w:val="22"/>
        </w:rPr>
        <w:t xml:space="preserve"> 1.1 տոկոսային կետ</w:t>
      </w:r>
      <w:r>
        <w:rPr>
          <w:rFonts w:ascii="GHEA Grapalat" w:eastAsia="GHEA Grapalat" w:hAnsi="GHEA Grapalat" w:cs="GHEA Grapalat"/>
          <w:sz w:val="22"/>
          <w:szCs w:val="22"/>
        </w:rPr>
        <w:t xml:space="preserve">եր) </w:t>
      </w:r>
      <w:r w:rsidRPr="00C438D9">
        <w:rPr>
          <w:rFonts w:ascii="GHEA Grapalat" w:eastAsia="GHEA Grapalat" w:hAnsi="GHEA Grapalat" w:cs="GHEA Grapalat"/>
          <w:sz w:val="22"/>
          <w:szCs w:val="22"/>
        </w:rPr>
        <w:t>արտադրության աճով</w:t>
      </w:r>
      <w:r>
        <w:rPr>
          <w:rFonts w:ascii="GHEA Grapalat" w:eastAsia="GHEA Grapalat" w:hAnsi="GHEA Grapalat" w:cs="GHEA Grapalat"/>
          <w:sz w:val="22"/>
          <w:szCs w:val="22"/>
        </w:rPr>
        <w:t xml:space="preserve">: Միաժամանակ </w:t>
      </w:r>
      <w:r w:rsidRPr="003245C7">
        <w:rPr>
          <w:rFonts w:ascii="GHEA Grapalat" w:eastAsia="GHEA Grapalat" w:hAnsi="GHEA Grapalat" w:cs="GHEA Grapalat"/>
          <w:sz w:val="22"/>
          <w:szCs w:val="22"/>
        </w:rPr>
        <w:t>այլ ոչ մետաղական հանքային</w:t>
      </w:r>
      <w:r w:rsidR="00B85C24">
        <w:rPr>
          <w:rFonts w:ascii="GHEA Grapalat" w:eastAsia="GHEA Grapalat" w:hAnsi="GHEA Grapalat" w:cs="GHEA Grapalat"/>
          <w:sz w:val="22"/>
          <w:szCs w:val="22"/>
        </w:rPr>
        <w:t xml:space="preserve"> </w:t>
      </w:r>
      <w:r w:rsidRPr="003245C7">
        <w:rPr>
          <w:rFonts w:ascii="GHEA Grapalat" w:eastAsia="GHEA Grapalat" w:hAnsi="GHEA Grapalat" w:cs="GHEA Grapalat"/>
          <w:sz w:val="22"/>
          <w:szCs w:val="22"/>
        </w:rPr>
        <w:t xml:space="preserve">արտադրատեսակների </w:t>
      </w:r>
      <w:r>
        <w:rPr>
          <w:rFonts w:ascii="GHEA Grapalat" w:eastAsia="GHEA Grapalat" w:hAnsi="GHEA Grapalat" w:cs="GHEA Grapalat"/>
          <w:sz w:val="22"/>
          <w:szCs w:val="22"/>
        </w:rPr>
        <w:t xml:space="preserve">արտադրությունը նվազել է՝ զգալիորեն հակազդելով ենթաճյուղի աճին </w:t>
      </w:r>
      <w:r w:rsidRPr="0031188E">
        <w:rPr>
          <w:rFonts w:ascii="GHEA Grapalat" w:eastAsia="GHEA Grapalat" w:hAnsi="GHEA Grapalat" w:cs="GHEA Grapalat"/>
          <w:sz w:val="22"/>
          <w:szCs w:val="22"/>
        </w:rPr>
        <w:t xml:space="preserve">(նպաստումը՝ </w:t>
      </w:r>
      <w:r>
        <w:rPr>
          <w:rFonts w:ascii="GHEA Grapalat" w:eastAsia="GHEA Grapalat" w:hAnsi="GHEA Grapalat" w:cs="GHEA Grapalat"/>
          <w:sz w:val="22"/>
          <w:szCs w:val="22"/>
        </w:rPr>
        <w:t>2</w:t>
      </w:r>
      <w:r w:rsidRPr="0031188E">
        <w:rPr>
          <w:rFonts w:ascii="GHEA Grapalat" w:eastAsia="GHEA Grapalat" w:hAnsi="GHEA Grapalat" w:cs="GHEA Grapalat"/>
          <w:sz w:val="22"/>
          <w:szCs w:val="22"/>
        </w:rPr>
        <w:t xml:space="preserve"> տոկոսային կետ):</w:t>
      </w:r>
    </w:p>
    <w:p w14:paraId="1D7D7B50" w14:textId="694F1717" w:rsidR="00575C6C" w:rsidRPr="005A43E6" w:rsidRDefault="00575C6C" w:rsidP="00575C6C">
      <w:pPr>
        <w:spacing w:line="276" w:lineRule="auto"/>
        <w:ind w:firstLine="567"/>
        <w:jc w:val="both"/>
        <w:rPr>
          <w:rFonts w:ascii="GHEA Grapalat" w:eastAsia="GHEA Grapalat" w:hAnsi="GHEA Grapalat" w:cs="Sylfaen"/>
          <w:sz w:val="22"/>
          <w:szCs w:val="22"/>
        </w:rPr>
      </w:pPr>
      <w:r w:rsidRPr="00D163D8">
        <w:rPr>
          <w:rFonts w:ascii="GHEA Grapalat" w:eastAsia="GHEA Grapalat" w:hAnsi="GHEA Grapalat" w:cs="GHEA Grapalat"/>
          <w:b/>
          <w:i/>
          <w:iCs/>
          <w:sz w:val="22"/>
          <w:szCs w:val="22"/>
        </w:rPr>
        <w:t>Գյուղատնտեսություն։</w:t>
      </w:r>
      <w:r w:rsidRPr="00D163D8">
        <w:rPr>
          <w:rFonts w:ascii="GHEA Grapalat" w:eastAsia="GHEA Grapalat" w:hAnsi="GHEA Grapalat" w:cs="GHEA Grapalat"/>
          <w:b/>
          <w:sz w:val="22"/>
          <w:szCs w:val="22"/>
        </w:rPr>
        <w:t xml:space="preserve"> </w:t>
      </w:r>
      <w:r w:rsidRPr="00A82DD7">
        <w:rPr>
          <w:rFonts w:ascii="GHEA Grapalat" w:eastAsia="GHEA Grapalat" w:hAnsi="GHEA Grapalat" w:cs="GHEA Grapalat"/>
          <w:bCs/>
          <w:sz w:val="22"/>
          <w:szCs w:val="22"/>
        </w:rPr>
        <w:t>Գյուղատնտեսության, անտառային տնտեսության և ձկնորսության համախառն արտադրանքը</w:t>
      </w:r>
      <w:r w:rsidR="00CA6DDB">
        <w:rPr>
          <w:rFonts w:ascii="GHEA Grapalat" w:eastAsia="GHEA Grapalat" w:hAnsi="GHEA Grapalat" w:cs="GHEA Grapalat"/>
          <w:bCs/>
          <w:sz w:val="22"/>
          <w:szCs w:val="22"/>
        </w:rPr>
        <w:t xml:space="preserve"> 2024</w:t>
      </w:r>
      <w:r w:rsidRPr="00A82DD7">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A82DD7">
        <w:rPr>
          <w:rFonts w:ascii="GHEA Grapalat" w:eastAsia="GHEA Grapalat" w:hAnsi="GHEA Grapalat" w:cs="GHEA Grapalat"/>
          <w:bCs/>
          <w:sz w:val="22"/>
          <w:szCs w:val="22"/>
        </w:rPr>
        <w:t xml:space="preserve"> աճել է 1.9%-ով:</w:t>
      </w:r>
      <w:r w:rsidRPr="00A82DD7">
        <w:rPr>
          <w:rFonts w:ascii="GHEA Grapalat" w:eastAsia="GHEA Grapalat" w:hAnsi="GHEA Grapalat" w:cs="GHEA Grapalat"/>
          <w:sz w:val="22"/>
          <w:szCs w:val="22"/>
        </w:rPr>
        <w:t xml:space="preserve"> </w:t>
      </w:r>
      <w:r w:rsidRPr="008D0856">
        <w:rPr>
          <w:rFonts w:ascii="GHEA Grapalat" w:eastAsia="GHEA Grapalat" w:hAnsi="GHEA Grapalat" w:cs="GHEA Grapalat"/>
          <w:sz w:val="22"/>
          <w:szCs w:val="22"/>
        </w:rPr>
        <w:t>Ճյուղին հիմնականում նպաստել է անասնաբուծության աճը (նպաստումը` 1.1 տոկոսային կետ</w:t>
      </w:r>
      <w:r>
        <w:rPr>
          <w:rFonts w:ascii="GHEA Grapalat" w:eastAsia="GHEA Grapalat" w:hAnsi="GHEA Grapalat" w:cs="GHEA Grapalat"/>
          <w:sz w:val="22"/>
          <w:szCs w:val="22"/>
        </w:rPr>
        <w:t xml:space="preserve">), որն էլ իր հերթին պայմանավորված է եղել </w:t>
      </w:r>
      <w:r w:rsidRPr="00A12A8E">
        <w:rPr>
          <w:rFonts w:ascii="GHEA Grapalat" w:eastAsia="GHEA Grapalat" w:hAnsi="GHEA Grapalat" w:cs="GHEA Grapalat"/>
          <w:sz w:val="22"/>
          <w:szCs w:val="22"/>
        </w:rPr>
        <w:t>սպանդի համար գյուղատնտեսական կենդանու և թռչնի</w:t>
      </w:r>
      <w:r>
        <w:rPr>
          <w:rFonts w:ascii="GHEA Grapalat" w:eastAsia="GHEA Grapalat" w:hAnsi="GHEA Grapalat" w:cs="GHEA Grapalat"/>
          <w:sz w:val="22"/>
          <w:szCs w:val="22"/>
        </w:rPr>
        <w:t xml:space="preserve"> աճով: Բուսաբուծությունը, ձկնորսությունը և անտառային տնտեսությունը ևս աճել են՝ դրական</w:t>
      </w:r>
      <w:r w:rsidR="0013296D" w:rsidRPr="008040E9">
        <w:rPr>
          <w:rFonts w:ascii="GHEA Grapalat" w:eastAsia="GHEA Grapalat" w:hAnsi="GHEA Grapalat" w:cs="GHEA Grapalat"/>
          <w:sz w:val="22"/>
          <w:szCs w:val="22"/>
        </w:rPr>
        <w:t>որեն</w:t>
      </w:r>
      <w:r>
        <w:rPr>
          <w:rFonts w:ascii="GHEA Grapalat" w:eastAsia="GHEA Grapalat" w:hAnsi="GHEA Grapalat" w:cs="GHEA Grapalat"/>
          <w:sz w:val="22"/>
          <w:szCs w:val="22"/>
        </w:rPr>
        <w:t xml:space="preserve"> նպաստելով ընդհանուր </w:t>
      </w:r>
      <w:r>
        <w:rPr>
          <w:rFonts w:ascii="GHEA Grapalat" w:eastAsia="GHEA Grapalat" w:hAnsi="GHEA Grapalat" w:cs="GHEA Grapalat"/>
          <w:sz w:val="22"/>
          <w:szCs w:val="22"/>
        </w:rPr>
        <w:lastRenderedPageBreak/>
        <w:t xml:space="preserve">ճյուղի աճին </w:t>
      </w:r>
      <w:r w:rsidRPr="008D0856">
        <w:rPr>
          <w:rFonts w:ascii="GHEA Grapalat" w:eastAsia="GHEA Grapalat" w:hAnsi="GHEA Grapalat" w:cs="GHEA Grapalat"/>
          <w:sz w:val="22"/>
          <w:szCs w:val="22"/>
        </w:rPr>
        <w:t>(նպաստում</w:t>
      </w:r>
      <w:r>
        <w:rPr>
          <w:rFonts w:ascii="GHEA Grapalat" w:eastAsia="GHEA Grapalat" w:hAnsi="GHEA Grapalat" w:cs="GHEA Grapalat"/>
          <w:sz w:val="22"/>
          <w:szCs w:val="22"/>
        </w:rPr>
        <w:t>ներ</w:t>
      </w:r>
      <w:r w:rsidRPr="008D0856">
        <w:rPr>
          <w:rFonts w:ascii="GHEA Grapalat" w:eastAsia="GHEA Grapalat" w:hAnsi="GHEA Grapalat" w:cs="GHEA Grapalat"/>
          <w:sz w:val="22"/>
          <w:szCs w:val="22"/>
        </w:rPr>
        <w:t>ը`</w:t>
      </w:r>
      <w:r>
        <w:rPr>
          <w:rFonts w:ascii="GHEA Grapalat" w:eastAsia="GHEA Grapalat" w:hAnsi="GHEA Grapalat" w:cs="GHEA Grapalat"/>
          <w:sz w:val="22"/>
          <w:szCs w:val="22"/>
        </w:rPr>
        <w:t xml:space="preserve"> համապատասխանաբար՝</w:t>
      </w:r>
      <w:r w:rsidRPr="008D0856">
        <w:rPr>
          <w:rFonts w:ascii="GHEA Grapalat" w:eastAsia="GHEA Grapalat" w:hAnsi="GHEA Grapalat" w:cs="GHEA Grapalat"/>
          <w:sz w:val="22"/>
          <w:szCs w:val="22"/>
        </w:rPr>
        <w:t xml:space="preserve"> </w:t>
      </w:r>
      <w:r>
        <w:rPr>
          <w:rFonts w:ascii="GHEA Grapalat" w:eastAsia="GHEA Grapalat" w:hAnsi="GHEA Grapalat" w:cs="GHEA Grapalat"/>
          <w:sz w:val="22"/>
          <w:szCs w:val="22"/>
        </w:rPr>
        <w:t>0</w:t>
      </w:r>
      <w:r w:rsidRPr="008D0856">
        <w:rPr>
          <w:rFonts w:ascii="GHEA Grapalat" w:eastAsia="GHEA Grapalat" w:hAnsi="GHEA Grapalat" w:cs="GHEA Grapalat"/>
          <w:sz w:val="22"/>
          <w:szCs w:val="22"/>
        </w:rPr>
        <w:t>.</w:t>
      </w:r>
      <w:r w:rsidRPr="00F24FF2">
        <w:rPr>
          <w:rFonts w:ascii="GHEA Grapalat" w:eastAsia="GHEA Grapalat" w:hAnsi="GHEA Grapalat" w:cs="GHEA Grapalat"/>
          <w:sz w:val="22"/>
          <w:szCs w:val="22"/>
        </w:rPr>
        <w:t>4</w:t>
      </w:r>
      <w:r>
        <w:rPr>
          <w:rFonts w:ascii="GHEA Grapalat" w:eastAsia="GHEA Grapalat" w:hAnsi="GHEA Grapalat" w:cs="GHEA Grapalat"/>
          <w:sz w:val="22"/>
          <w:szCs w:val="22"/>
        </w:rPr>
        <w:t xml:space="preserve">, </w:t>
      </w:r>
      <w:r w:rsidRPr="00F24FF2">
        <w:rPr>
          <w:rFonts w:ascii="GHEA Grapalat" w:eastAsia="GHEA Grapalat" w:hAnsi="GHEA Grapalat" w:cs="GHEA Grapalat"/>
          <w:sz w:val="22"/>
          <w:szCs w:val="22"/>
        </w:rPr>
        <w:t xml:space="preserve">0.2 </w:t>
      </w:r>
      <w:r>
        <w:rPr>
          <w:rFonts w:ascii="GHEA Grapalat" w:eastAsia="GHEA Grapalat" w:hAnsi="GHEA Grapalat" w:cs="GHEA Grapalat"/>
          <w:sz w:val="22"/>
          <w:szCs w:val="22"/>
        </w:rPr>
        <w:t xml:space="preserve">և </w:t>
      </w:r>
      <w:r w:rsidRPr="00F24FF2">
        <w:rPr>
          <w:rFonts w:ascii="GHEA Grapalat" w:eastAsia="GHEA Grapalat" w:hAnsi="GHEA Grapalat" w:cs="GHEA Grapalat"/>
          <w:sz w:val="22"/>
          <w:szCs w:val="22"/>
        </w:rPr>
        <w:t>0.1</w:t>
      </w:r>
      <w:r w:rsidRPr="008D0856">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 xml:space="preserve">եր): </w:t>
      </w:r>
      <w:r w:rsidRPr="00092981">
        <w:rPr>
          <w:rFonts w:ascii="GHEA Grapalat" w:eastAsia="GHEA Grapalat" w:hAnsi="GHEA Grapalat" w:cs="Sylfaen"/>
          <w:sz w:val="22"/>
          <w:szCs w:val="22"/>
        </w:rPr>
        <w:t xml:space="preserve">Բուսաբուծության աճն իր հերթին պայմանավորված է եղել </w:t>
      </w:r>
      <w:r w:rsidRPr="008040E9">
        <w:rPr>
          <w:rFonts w:ascii="GHEA Grapalat" w:eastAsia="GHEA Grapalat" w:hAnsi="GHEA Grapalat" w:cs="Sylfaen"/>
          <w:sz w:val="22"/>
          <w:szCs w:val="22"/>
        </w:rPr>
        <w:t>բոստանի</w:t>
      </w:r>
      <w:r w:rsidRPr="005A43E6">
        <w:rPr>
          <w:rFonts w:ascii="GHEA Grapalat" w:eastAsia="GHEA Grapalat" w:hAnsi="GHEA Grapalat" w:cs="Sylfaen"/>
          <w:sz w:val="22"/>
          <w:szCs w:val="22"/>
        </w:rPr>
        <w:t xml:space="preserve"> և բանջարեղենի աճով։ </w:t>
      </w:r>
    </w:p>
    <w:p w14:paraId="71F07EEE" w14:textId="29072105" w:rsidR="00575C6C" w:rsidRPr="005C4C75" w:rsidRDefault="00575C6C" w:rsidP="00575C6C">
      <w:pPr>
        <w:spacing w:line="276" w:lineRule="auto"/>
        <w:ind w:firstLine="567"/>
        <w:jc w:val="both"/>
        <w:rPr>
          <w:rFonts w:ascii="GHEA Grapalat" w:eastAsia="GHEA Grapalat" w:hAnsi="GHEA Grapalat" w:cs="GHEA Grapalat"/>
          <w:bCs/>
          <w:sz w:val="22"/>
          <w:szCs w:val="22"/>
        </w:rPr>
      </w:pPr>
      <w:r w:rsidRPr="00F41A8B">
        <w:rPr>
          <w:rFonts w:ascii="GHEA Grapalat" w:eastAsia="GHEA Grapalat" w:hAnsi="GHEA Grapalat" w:cs="GHEA Grapalat"/>
          <w:b/>
          <w:i/>
          <w:iCs/>
          <w:sz w:val="22"/>
          <w:szCs w:val="22"/>
        </w:rPr>
        <w:t>Շինարարություն։</w:t>
      </w:r>
      <w:r w:rsidRPr="00F41A8B">
        <w:rPr>
          <w:rFonts w:ascii="GHEA Grapalat" w:eastAsia="GHEA Grapalat" w:hAnsi="GHEA Grapalat" w:cs="GHEA Grapalat"/>
          <w:b/>
          <w:sz w:val="22"/>
          <w:szCs w:val="22"/>
        </w:rPr>
        <w:t xml:space="preserve"> </w:t>
      </w:r>
      <w:r w:rsidRPr="00893C38">
        <w:rPr>
          <w:rFonts w:ascii="GHEA Grapalat" w:eastAsia="GHEA Grapalat" w:hAnsi="GHEA Grapalat" w:cs="GHEA Grapalat"/>
          <w:bCs/>
          <w:sz w:val="22"/>
          <w:szCs w:val="22"/>
        </w:rPr>
        <w:t xml:space="preserve">Շինարարության ճյուղում գրանցված 14.5% աճը պայմանավորված է եղել </w:t>
      </w:r>
      <w:r w:rsidRPr="00412888">
        <w:rPr>
          <w:rFonts w:ascii="GHEA Grapalat" w:eastAsia="GHEA Grapalat" w:hAnsi="GHEA Grapalat" w:cs="GHEA Grapalat"/>
          <w:bCs/>
          <w:sz w:val="22"/>
          <w:szCs w:val="22"/>
        </w:rPr>
        <w:t>բնակչության, կազմակերպությունների և պետական բյուջեի (հիմնականում</w:t>
      </w:r>
      <w:bookmarkStart w:id="8" w:name="_GoBack"/>
      <w:bookmarkEnd w:id="8"/>
      <w:r w:rsidRPr="00412888">
        <w:rPr>
          <w:rFonts w:ascii="GHEA Grapalat" w:eastAsia="GHEA Grapalat" w:hAnsi="GHEA Grapalat" w:cs="GHEA Grapalat"/>
          <w:bCs/>
          <w:sz w:val="22"/>
          <w:szCs w:val="22"/>
        </w:rPr>
        <w:t xml:space="preserve">՝ միջազգային վարկերով ֆինանսավորվող) միջոցներով իրականացված շինարարության ծավալների աճով (նպաստումները` համապատասխանաբար </w:t>
      </w:r>
      <w:r w:rsidRPr="004E42F9">
        <w:rPr>
          <w:rFonts w:ascii="GHEA Grapalat" w:eastAsia="GHEA Grapalat" w:hAnsi="GHEA Grapalat" w:cs="GHEA Grapalat"/>
          <w:bCs/>
          <w:sz w:val="22"/>
          <w:szCs w:val="22"/>
        </w:rPr>
        <w:t xml:space="preserve">5.9, 5.5 և 3.8 տոկոսային կետեր): </w:t>
      </w:r>
      <w:r w:rsidRPr="005C4C75">
        <w:rPr>
          <w:rFonts w:ascii="GHEA Grapalat" w:eastAsia="GHEA Grapalat" w:hAnsi="GHEA Grapalat" w:cs="GHEA Grapalat"/>
          <w:bCs/>
          <w:sz w:val="22"/>
          <w:szCs w:val="22"/>
        </w:rPr>
        <w:t xml:space="preserve">Կազմակերպությունների և բնակչության միջոցներով ֆինանսավորվող շինարարության աճերը վկայում են ներքին միջոցներով իրականացվող մասնավոր ներդրումների աճի մասին (պայմանավորված հիմնականում բնակարանային շինարարության ծավալների աճով, որին նպաստել է </w:t>
      </w:r>
      <w:r w:rsidR="009C150D">
        <w:rPr>
          <w:rFonts w:ascii="GHEA Grapalat" w:eastAsia="GHEA Grapalat" w:hAnsi="GHEA Grapalat" w:cs="GHEA Grapalat"/>
          <w:bCs/>
          <w:sz w:val="22"/>
          <w:szCs w:val="22"/>
        </w:rPr>
        <w:t xml:space="preserve"> հիպոտեկ</w:t>
      </w:r>
      <w:r w:rsidRPr="005C4C75">
        <w:rPr>
          <w:rFonts w:ascii="GHEA Grapalat" w:eastAsia="GHEA Grapalat" w:hAnsi="GHEA Grapalat" w:cs="GHEA Grapalat"/>
          <w:bCs/>
          <w:sz w:val="22"/>
          <w:szCs w:val="22"/>
        </w:rPr>
        <w:t>ային վարկերի տոկոսավճարների</w:t>
      </w:r>
      <w:r>
        <w:rPr>
          <w:rFonts w:ascii="GHEA Grapalat" w:eastAsia="GHEA Grapalat" w:hAnsi="GHEA Grapalat" w:cs="GHEA Grapalat"/>
          <w:bCs/>
          <w:sz w:val="22"/>
          <w:szCs w:val="22"/>
        </w:rPr>
        <w:t xml:space="preserve"> դիմաց</w:t>
      </w:r>
      <w:r w:rsidRPr="005C4C75">
        <w:rPr>
          <w:rFonts w:ascii="GHEA Grapalat" w:eastAsia="GHEA Grapalat" w:hAnsi="GHEA Grapalat" w:cs="GHEA Grapalat"/>
          <w:bCs/>
          <w:sz w:val="22"/>
          <w:szCs w:val="22"/>
        </w:rPr>
        <w:t xml:space="preserve"> եկամտա</w:t>
      </w:r>
      <w:r>
        <w:rPr>
          <w:rFonts w:ascii="GHEA Grapalat" w:eastAsia="GHEA Grapalat" w:hAnsi="GHEA Grapalat" w:cs="GHEA Grapalat"/>
          <w:bCs/>
          <w:sz w:val="22"/>
          <w:szCs w:val="22"/>
        </w:rPr>
        <w:t>յին հարկի</w:t>
      </w:r>
      <w:r w:rsidRPr="005C4C75">
        <w:rPr>
          <w:rFonts w:ascii="GHEA Grapalat" w:eastAsia="GHEA Grapalat" w:hAnsi="GHEA Grapalat" w:cs="GHEA Grapalat"/>
          <w:bCs/>
          <w:sz w:val="22"/>
          <w:szCs w:val="22"/>
        </w:rPr>
        <w:t xml:space="preserve"> վերադարձման ծրագիրը)։</w:t>
      </w:r>
    </w:p>
    <w:p w14:paraId="32426C9E" w14:textId="7B4BCF0B" w:rsidR="00575C6C" w:rsidRPr="00AF696A" w:rsidRDefault="00575C6C" w:rsidP="00575C6C">
      <w:pPr>
        <w:spacing w:line="276" w:lineRule="auto"/>
        <w:ind w:firstLine="567"/>
        <w:jc w:val="both"/>
        <w:rPr>
          <w:rFonts w:ascii="GHEA Grapalat" w:eastAsia="GHEA Grapalat" w:hAnsi="GHEA Grapalat" w:cs="GHEA Grapalat"/>
          <w:sz w:val="22"/>
          <w:szCs w:val="22"/>
          <w:highlight w:val="yellow"/>
        </w:rPr>
      </w:pPr>
      <w:r w:rsidRPr="00536D97">
        <w:rPr>
          <w:rFonts w:ascii="GHEA Grapalat" w:eastAsia="GHEA Grapalat" w:hAnsi="GHEA Grapalat" w:cs="GHEA Grapalat"/>
          <w:bCs/>
          <w:sz w:val="22"/>
          <w:szCs w:val="22"/>
        </w:rPr>
        <w:t>Ըստ տնտեսական գործունեության տեսակների՝ շինարարության աճին հիմնականում նպաստել են անշարժ գույքի հետ կապված գործունեության (հիմնականում՝ բնակարանաշինությ</w:t>
      </w:r>
      <w:r w:rsidR="0013296D" w:rsidRPr="008040E9">
        <w:rPr>
          <w:rFonts w:ascii="GHEA Grapalat" w:eastAsia="GHEA Grapalat" w:hAnsi="GHEA Grapalat" w:cs="GHEA Grapalat"/>
          <w:bCs/>
          <w:sz w:val="22"/>
          <w:szCs w:val="22"/>
        </w:rPr>
        <w:t>ա</w:t>
      </w:r>
      <w:r w:rsidRPr="00536D97">
        <w:rPr>
          <w:rFonts w:ascii="GHEA Grapalat" w:eastAsia="GHEA Grapalat" w:hAnsi="GHEA Grapalat" w:cs="GHEA Grapalat"/>
          <w:bCs/>
          <w:sz w:val="22"/>
          <w:szCs w:val="22"/>
        </w:rPr>
        <w:t>ն), էլեկտրականության, գազի, գոլորշու և լավորակ օդի մատակարար</w:t>
      </w:r>
      <w:r w:rsidR="0013296D" w:rsidRPr="008040E9">
        <w:rPr>
          <w:rFonts w:ascii="GHEA Grapalat" w:eastAsia="GHEA Grapalat" w:hAnsi="GHEA Grapalat" w:cs="GHEA Grapalat"/>
          <w:bCs/>
          <w:sz w:val="22"/>
          <w:szCs w:val="22"/>
        </w:rPr>
        <w:t>ման</w:t>
      </w:r>
      <w:r w:rsidRPr="00536D97">
        <w:rPr>
          <w:rFonts w:ascii="GHEA Grapalat" w:eastAsia="GHEA Grapalat" w:hAnsi="GHEA Grapalat" w:cs="GHEA Grapalat"/>
          <w:bCs/>
          <w:sz w:val="22"/>
          <w:szCs w:val="22"/>
        </w:rPr>
        <w:t xml:space="preserve">, կրթության, ինչպես նաև առևտրի ոլորտներում </w:t>
      </w:r>
      <w:r w:rsidRPr="00002329">
        <w:rPr>
          <w:rFonts w:ascii="GHEA Grapalat" w:eastAsia="GHEA Grapalat" w:hAnsi="GHEA Grapalat" w:cs="GHEA Grapalat"/>
          <w:iCs/>
          <w:sz w:val="22"/>
          <w:szCs w:val="22"/>
        </w:rPr>
        <w:t>իրականացված</w:t>
      </w:r>
      <w:r>
        <w:rPr>
          <w:rFonts w:ascii="GHEA Grapalat" w:eastAsia="GHEA Grapalat" w:hAnsi="GHEA Grapalat" w:cs="GHEA Grapalat"/>
          <w:b/>
          <w:i/>
          <w:iCs/>
          <w:sz w:val="22"/>
          <w:szCs w:val="22"/>
        </w:rPr>
        <w:t xml:space="preserve"> </w:t>
      </w:r>
      <w:r w:rsidRPr="00536D97">
        <w:rPr>
          <w:rFonts w:ascii="GHEA Grapalat" w:eastAsia="GHEA Grapalat" w:hAnsi="GHEA Grapalat" w:cs="GHEA Grapalat"/>
          <w:bCs/>
          <w:sz w:val="22"/>
          <w:szCs w:val="22"/>
        </w:rPr>
        <w:t>շինարարության ծավալների աճերը:</w:t>
      </w:r>
      <w:r w:rsidRPr="00AF696A">
        <w:rPr>
          <w:rFonts w:ascii="GHEA Grapalat" w:eastAsia="GHEA Grapalat" w:hAnsi="GHEA Grapalat" w:cs="GHEA Grapalat"/>
          <w:sz w:val="22"/>
          <w:szCs w:val="22"/>
          <w:highlight w:val="yellow"/>
        </w:rPr>
        <w:t xml:space="preserve"> </w:t>
      </w:r>
    </w:p>
    <w:p w14:paraId="394DC27D" w14:textId="7E102FF1" w:rsidR="00575C6C" w:rsidRPr="00E87496" w:rsidRDefault="00575C6C" w:rsidP="00575C6C">
      <w:pPr>
        <w:spacing w:line="276" w:lineRule="auto"/>
        <w:ind w:firstLine="567"/>
        <w:jc w:val="both"/>
        <w:rPr>
          <w:rFonts w:ascii="GHEA Grapalat" w:eastAsia="GHEA Grapalat" w:hAnsi="GHEA Grapalat" w:cs="GHEA Grapalat"/>
          <w:bCs/>
          <w:sz w:val="22"/>
          <w:szCs w:val="22"/>
          <w:highlight w:val="yellow"/>
        </w:rPr>
      </w:pPr>
      <w:r w:rsidRPr="00F41A8B">
        <w:rPr>
          <w:rFonts w:ascii="GHEA Grapalat" w:eastAsia="GHEA Grapalat" w:hAnsi="GHEA Grapalat" w:cs="GHEA Grapalat"/>
          <w:b/>
          <w:i/>
          <w:iCs/>
          <w:sz w:val="22"/>
          <w:szCs w:val="22"/>
        </w:rPr>
        <w:t>Ծառայություններ և առևտուր։</w:t>
      </w:r>
      <w:r w:rsidRPr="00F41A8B">
        <w:rPr>
          <w:rFonts w:ascii="GHEA Grapalat" w:eastAsia="GHEA Grapalat" w:hAnsi="GHEA Grapalat" w:cs="GHEA Grapalat"/>
          <w:b/>
          <w:sz w:val="22"/>
          <w:szCs w:val="22"/>
        </w:rPr>
        <w:t xml:space="preserve"> </w:t>
      </w:r>
      <w:r w:rsidRPr="003054A5">
        <w:rPr>
          <w:rFonts w:ascii="GHEA Grapalat" w:eastAsia="GHEA Grapalat" w:hAnsi="GHEA Grapalat" w:cs="GHEA Grapalat"/>
          <w:bCs/>
          <w:sz w:val="22"/>
          <w:szCs w:val="22"/>
        </w:rPr>
        <w:t xml:space="preserve">Ծառայություններն աճել են 10.6%-ով՝ հիմնականում պայմանավորված ֆինանսական և ապահովագրական գործունեության աճով (նպաստումը` 6 տոկոսային կետ), որն իր հերթին պայմանավորված է եղել բանկերի գործունեության աճով։ </w:t>
      </w:r>
      <w:r>
        <w:rPr>
          <w:rFonts w:ascii="GHEA Grapalat" w:eastAsia="GHEA Grapalat" w:hAnsi="GHEA Grapalat" w:cs="GHEA Grapalat"/>
          <w:bCs/>
          <w:sz w:val="22"/>
          <w:szCs w:val="22"/>
        </w:rPr>
        <w:t xml:space="preserve">Ճյուղի աճին զգալի նպաստում են ունեցել նաև տեղեկատվություն և կապ, ինչպես նաև </w:t>
      </w:r>
      <w:r w:rsidRPr="00B03473">
        <w:rPr>
          <w:rFonts w:ascii="GHEA Grapalat" w:eastAsia="GHEA Grapalat" w:hAnsi="GHEA Grapalat" w:cs="GHEA Grapalat"/>
          <w:bCs/>
          <w:sz w:val="22"/>
          <w:szCs w:val="22"/>
        </w:rPr>
        <w:t>մշակույթ, զվարճություններ և հանգիստ</w:t>
      </w:r>
      <w:r>
        <w:rPr>
          <w:rFonts w:ascii="GHEA Grapalat" w:eastAsia="GHEA Grapalat" w:hAnsi="GHEA Grapalat" w:cs="GHEA Grapalat"/>
          <w:bCs/>
          <w:sz w:val="22"/>
          <w:szCs w:val="22"/>
        </w:rPr>
        <w:t xml:space="preserve"> ենթաճյուղերի աճերը </w:t>
      </w:r>
      <w:r w:rsidRPr="003054A5">
        <w:rPr>
          <w:rFonts w:ascii="GHEA Grapalat" w:eastAsia="GHEA Grapalat" w:hAnsi="GHEA Grapalat" w:cs="GHEA Grapalat"/>
          <w:bCs/>
          <w:sz w:val="22"/>
          <w:szCs w:val="22"/>
        </w:rPr>
        <w:t>(նպաստում</w:t>
      </w:r>
      <w:r>
        <w:rPr>
          <w:rFonts w:ascii="GHEA Grapalat" w:eastAsia="GHEA Grapalat" w:hAnsi="GHEA Grapalat" w:cs="GHEA Grapalat"/>
          <w:bCs/>
          <w:sz w:val="22"/>
          <w:szCs w:val="22"/>
        </w:rPr>
        <w:t>ներ</w:t>
      </w:r>
      <w:r w:rsidRPr="003054A5">
        <w:rPr>
          <w:rFonts w:ascii="GHEA Grapalat" w:eastAsia="GHEA Grapalat" w:hAnsi="GHEA Grapalat" w:cs="GHEA Grapalat"/>
          <w:bCs/>
          <w:sz w:val="22"/>
          <w:szCs w:val="22"/>
        </w:rPr>
        <w:t xml:space="preserve">ը` </w:t>
      </w:r>
      <w:r>
        <w:rPr>
          <w:rFonts w:ascii="GHEA Grapalat" w:eastAsia="GHEA Grapalat" w:hAnsi="GHEA Grapalat" w:cs="GHEA Grapalat"/>
          <w:bCs/>
          <w:sz w:val="22"/>
          <w:szCs w:val="22"/>
        </w:rPr>
        <w:t>համապատասխանաբար 2</w:t>
      </w:r>
      <w:r w:rsidRPr="003054A5">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4 և </w:t>
      </w:r>
      <w:r w:rsidRPr="00007068">
        <w:rPr>
          <w:rFonts w:ascii="GHEA Grapalat" w:eastAsia="GHEA Grapalat" w:hAnsi="GHEA Grapalat" w:cs="GHEA Grapalat"/>
          <w:bCs/>
          <w:sz w:val="22"/>
          <w:szCs w:val="22"/>
        </w:rPr>
        <w:t>1.1</w:t>
      </w:r>
      <w:r w:rsidRPr="003054A5">
        <w:rPr>
          <w:rFonts w:ascii="GHEA Grapalat" w:eastAsia="GHEA Grapalat" w:hAnsi="GHEA Grapalat" w:cs="GHEA Grapalat"/>
          <w:bCs/>
          <w:sz w:val="22"/>
          <w:szCs w:val="22"/>
        </w:rPr>
        <w:t xml:space="preserve"> տոկոսային կետ</w:t>
      </w:r>
      <w:r>
        <w:rPr>
          <w:rFonts w:ascii="GHEA Grapalat" w:eastAsia="GHEA Grapalat" w:hAnsi="GHEA Grapalat" w:cs="GHEA Grapalat"/>
          <w:bCs/>
          <w:sz w:val="22"/>
          <w:szCs w:val="22"/>
        </w:rPr>
        <w:t>եր</w:t>
      </w:r>
      <w:r w:rsidRPr="003054A5">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Տեղեկատվություն և կապ ենթաճյուղի աճն իր հերթին պայմանավորված է եղել հիմնականում </w:t>
      </w:r>
      <w:r w:rsidRPr="00B603A5">
        <w:rPr>
          <w:rFonts w:ascii="GHEA Grapalat" w:eastAsia="GHEA Grapalat" w:hAnsi="GHEA Grapalat" w:cs="GHEA Grapalat"/>
          <w:bCs/>
          <w:sz w:val="22"/>
          <w:szCs w:val="22"/>
        </w:rPr>
        <w:t>տեղեկատվական տեխնոլոգիաներ</w:t>
      </w:r>
      <w:r>
        <w:rPr>
          <w:rFonts w:ascii="GHEA Grapalat" w:eastAsia="GHEA Grapalat" w:hAnsi="GHEA Grapalat" w:cs="GHEA Grapalat"/>
          <w:bCs/>
          <w:sz w:val="22"/>
          <w:szCs w:val="22"/>
        </w:rPr>
        <w:t xml:space="preserve">ի ոլորտի աճով, իսկ </w:t>
      </w:r>
      <w:r w:rsidRPr="00B603A5">
        <w:rPr>
          <w:rFonts w:ascii="GHEA Grapalat" w:eastAsia="GHEA Grapalat" w:hAnsi="GHEA Grapalat" w:cs="GHEA Grapalat"/>
          <w:bCs/>
          <w:sz w:val="22"/>
          <w:szCs w:val="22"/>
        </w:rPr>
        <w:t>մշակույթ, զվարճություններ և հանգիստ ենթաճյուղի</w:t>
      </w:r>
      <w:r>
        <w:rPr>
          <w:rFonts w:ascii="GHEA Grapalat" w:eastAsia="GHEA Grapalat" w:hAnsi="GHEA Grapalat" w:cs="GHEA Grapalat"/>
          <w:bCs/>
          <w:sz w:val="22"/>
          <w:szCs w:val="22"/>
        </w:rPr>
        <w:t xml:space="preserve"> աճը՝ </w:t>
      </w:r>
      <w:r w:rsidRPr="00154BE1">
        <w:rPr>
          <w:rFonts w:ascii="GHEA Grapalat" w:eastAsia="GHEA Grapalat" w:hAnsi="GHEA Grapalat" w:cs="GHEA Grapalat"/>
          <w:bCs/>
          <w:sz w:val="22"/>
          <w:szCs w:val="22"/>
        </w:rPr>
        <w:t>վիճակախաղերի, տեսախաղային տերմինալների, վիրտուալ մոլեխաղերի և բուքմե</w:t>
      </w:r>
      <w:r w:rsidR="004D1353" w:rsidRPr="008040E9">
        <w:rPr>
          <w:rFonts w:ascii="GHEA Grapalat" w:eastAsia="GHEA Grapalat" w:hAnsi="GHEA Grapalat" w:cs="GHEA Grapalat"/>
          <w:bCs/>
          <w:sz w:val="22"/>
          <w:szCs w:val="22"/>
        </w:rPr>
        <w:t>յ</w:t>
      </w:r>
      <w:r w:rsidRPr="00154BE1">
        <w:rPr>
          <w:rFonts w:ascii="GHEA Grapalat" w:eastAsia="GHEA Grapalat" w:hAnsi="GHEA Grapalat" w:cs="GHEA Grapalat"/>
          <w:bCs/>
          <w:sz w:val="22"/>
          <w:szCs w:val="22"/>
        </w:rPr>
        <w:t>քերա</w:t>
      </w:r>
      <w:r w:rsidR="004D1353" w:rsidRPr="008040E9">
        <w:rPr>
          <w:rFonts w:ascii="GHEA Grapalat" w:eastAsia="GHEA Grapalat" w:hAnsi="GHEA Grapalat" w:cs="GHEA Grapalat"/>
          <w:bCs/>
          <w:sz w:val="22"/>
          <w:szCs w:val="22"/>
        </w:rPr>
        <w:t>յին</w:t>
      </w:r>
      <w:r w:rsidRPr="00154BE1">
        <w:rPr>
          <w:rFonts w:ascii="GHEA Grapalat" w:eastAsia="GHEA Grapalat" w:hAnsi="GHEA Grapalat" w:cs="GHEA Grapalat"/>
          <w:bCs/>
          <w:sz w:val="22"/>
          <w:szCs w:val="22"/>
        </w:rPr>
        <w:t xml:space="preserve"> գործունեության </w:t>
      </w:r>
      <w:r>
        <w:rPr>
          <w:rFonts w:ascii="GHEA Grapalat" w:eastAsia="GHEA Grapalat" w:hAnsi="GHEA Grapalat" w:cs="GHEA Grapalat"/>
          <w:bCs/>
          <w:sz w:val="22"/>
          <w:szCs w:val="22"/>
        </w:rPr>
        <w:t xml:space="preserve">կազմակերպման </w:t>
      </w:r>
      <w:r w:rsidRPr="009F7DA7">
        <w:rPr>
          <w:rFonts w:ascii="GHEA Grapalat" w:eastAsia="GHEA Grapalat" w:hAnsi="GHEA Grapalat" w:cs="GHEA Grapalat"/>
          <w:bCs/>
          <w:sz w:val="22"/>
          <w:szCs w:val="22"/>
        </w:rPr>
        <w:t>աճով: Տրանսպորտի</w:t>
      </w:r>
      <w:r w:rsidRPr="006E1559">
        <w:rPr>
          <w:rFonts w:ascii="GHEA Grapalat" w:eastAsia="GHEA Grapalat" w:hAnsi="GHEA Grapalat" w:cs="GHEA Grapalat"/>
          <w:bCs/>
          <w:sz w:val="22"/>
          <w:szCs w:val="22"/>
        </w:rPr>
        <w:t xml:space="preserve"> ենթաճյուղը նվազել է՝ հակազդելով ծառայությունների ճյուղի աճին (նպաստումը` 1.6 տոկոսային կետ): </w:t>
      </w:r>
      <w:r w:rsidRPr="00E35BB8">
        <w:rPr>
          <w:rFonts w:ascii="GHEA Grapalat" w:eastAsia="GHEA Grapalat" w:hAnsi="GHEA Grapalat" w:cs="GHEA Grapalat"/>
          <w:bCs/>
          <w:sz w:val="22"/>
          <w:szCs w:val="22"/>
        </w:rPr>
        <w:t xml:space="preserve">Տրանսպորտ ենթաճյուղի նվազումն իր հերթին պայմանավորված է եղել </w:t>
      </w:r>
      <w:r w:rsidRPr="001F6738">
        <w:rPr>
          <w:rFonts w:ascii="GHEA Grapalat" w:eastAsia="GHEA Grapalat" w:hAnsi="GHEA Grapalat" w:cs="GHEA Grapalat"/>
          <w:bCs/>
          <w:sz w:val="22"/>
          <w:szCs w:val="22"/>
        </w:rPr>
        <w:t xml:space="preserve">հիմնականում օդային և ցամաքային տրանսպորտով մատուցված ծառայությունների նվազմամբ: </w:t>
      </w:r>
    </w:p>
    <w:p w14:paraId="772B0E1F" w14:textId="461109F7" w:rsidR="00575C6C" w:rsidRPr="00B05D42" w:rsidRDefault="00575C6C" w:rsidP="00575C6C">
      <w:pPr>
        <w:spacing w:line="276" w:lineRule="auto"/>
        <w:ind w:firstLine="567"/>
        <w:jc w:val="both"/>
        <w:rPr>
          <w:rFonts w:ascii="GHEA Grapalat" w:eastAsia="GHEA Grapalat" w:hAnsi="GHEA Grapalat" w:cs="GHEA Grapalat"/>
          <w:sz w:val="22"/>
          <w:szCs w:val="22"/>
        </w:rPr>
      </w:pPr>
      <w:r w:rsidRPr="00885692">
        <w:rPr>
          <w:rFonts w:ascii="GHEA Grapalat" w:eastAsia="GHEA Grapalat" w:hAnsi="GHEA Grapalat" w:cs="GHEA Grapalat"/>
          <w:sz w:val="22"/>
          <w:szCs w:val="22"/>
        </w:rPr>
        <w:t xml:space="preserve">Առևտրի 17% աճը հիմնականում պայմանավորված է եղել մեծածախ առևտրի աճով (նպաստումը՝ 14.6 տոկոսային կետ)։ </w:t>
      </w:r>
      <w:r w:rsidRPr="00CF0B01">
        <w:rPr>
          <w:rFonts w:ascii="GHEA Grapalat" w:eastAsia="GHEA Grapalat" w:hAnsi="GHEA Grapalat" w:cs="GHEA Grapalat"/>
          <w:sz w:val="22"/>
          <w:szCs w:val="22"/>
        </w:rPr>
        <w:t xml:space="preserve">Մեծածախ առևտրի բարձր աճը պայմանավորված է տնտեսության մյուս հատվածներում առկա բարձր պահանջարկով, ինչպես նաև մեծածախ առևտրում վերաարտահանման մարժայի մեծ դերով: </w:t>
      </w:r>
      <w:r w:rsidRPr="00807E84">
        <w:rPr>
          <w:rFonts w:ascii="GHEA Grapalat" w:eastAsia="GHEA Grapalat" w:hAnsi="GHEA Grapalat" w:cs="GHEA Grapalat"/>
          <w:sz w:val="22"/>
          <w:szCs w:val="22"/>
        </w:rPr>
        <w:t xml:space="preserve">Առևտրի և ծառայությունների աճն ուղեկցվել է </w:t>
      </w:r>
      <w:r w:rsidRPr="00B05D42">
        <w:rPr>
          <w:rFonts w:ascii="GHEA Grapalat" w:eastAsia="GHEA Grapalat" w:hAnsi="GHEA Grapalat" w:cs="GHEA Grapalat"/>
          <w:sz w:val="22"/>
          <w:szCs w:val="22"/>
        </w:rPr>
        <w:t>ներքին պահանջարկի (մասնավորապես՝ մասնավոր սպառման) աճով:</w:t>
      </w:r>
    </w:p>
    <w:p w14:paraId="49C9BDDD" w14:textId="32E98E93" w:rsidR="00575C6C" w:rsidRPr="0095192C" w:rsidRDefault="00575C6C" w:rsidP="00575C6C">
      <w:pPr>
        <w:spacing w:line="276" w:lineRule="auto"/>
        <w:ind w:firstLine="567"/>
        <w:jc w:val="both"/>
        <w:rPr>
          <w:rFonts w:ascii="GHEA Grapalat" w:eastAsia="GHEA Grapalat" w:hAnsi="GHEA Grapalat" w:cs="GHEA Grapalat"/>
          <w:sz w:val="22"/>
          <w:szCs w:val="22"/>
        </w:rPr>
      </w:pPr>
      <w:r w:rsidRPr="000055F1">
        <w:rPr>
          <w:rFonts w:ascii="GHEA Grapalat" w:eastAsia="GHEA Grapalat" w:hAnsi="GHEA Grapalat" w:cs="GHEA Grapalat"/>
          <w:bCs/>
          <w:sz w:val="22"/>
          <w:szCs w:val="22"/>
        </w:rPr>
        <w:t xml:space="preserve">Հաշվետու </w:t>
      </w:r>
      <w:r w:rsidR="00D43E19" w:rsidRPr="008040E9">
        <w:rPr>
          <w:rFonts w:ascii="GHEA Grapalat" w:eastAsia="GHEA Grapalat" w:hAnsi="GHEA Grapalat" w:cs="GHEA Grapalat"/>
          <w:bCs/>
          <w:sz w:val="22"/>
          <w:szCs w:val="22"/>
        </w:rPr>
        <w:t>տարում</w:t>
      </w:r>
      <w:r w:rsidRPr="000055F1">
        <w:rPr>
          <w:rFonts w:ascii="GHEA Grapalat" w:eastAsia="GHEA Grapalat" w:hAnsi="GHEA Grapalat" w:cs="GHEA Grapalat"/>
          <w:bCs/>
          <w:sz w:val="22"/>
          <w:szCs w:val="22"/>
        </w:rPr>
        <w:t xml:space="preserve"> ուղևորափոխադրումների ծավալն աճել է, իսկ բեռնափոխադրումների ծավալը՝ նվազել: </w:t>
      </w:r>
      <w:r w:rsidRPr="00230A01">
        <w:rPr>
          <w:rFonts w:ascii="GHEA Grapalat" w:eastAsia="GHEA Grapalat" w:hAnsi="GHEA Grapalat" w:cs="GHEA Grapalat"/>
          <w:bCs/>
          <w:sz w:val="22"/>
          <w:szCs w:val="22"/>
        </w:rPr>
        <w:t xml:space="preserve">Ուղևորափոխադրումների 17.3% աճը հիմնականում պայմանավորված է եղել ավտոմոբիլային ուղևորափոխադրումների աճով (նպաստումը՝ 15.6 տոկոսային կետ): Ուղևորափոխադրումների աճին նպաստել է նաև էլեկտրատրանսպորտով փոխադրումների աճը (նպաստումը՝ 1.7 տոկոսային կետ): </w:t>
      </w:r>
      <w:r w:rsidRPr="00793882">
        <w:rPr>
          <w:rFonts w:ascii="GHEA Grapalat" w:eastAsia="GHEA Grapalat" w:hAnsi="GHEA Grapalat" w:cs="GHEA Grapalat"/>
          <w:bCs/>
          <w:sz w:val="22"/>
          <w:szCs w:val="22"/>
        </w:rPr>
        <w:t xml:space="preserve">Բեռնափոխադրումների ծավալի 7.7% նվազումը հիմնականում պայմանավորված է </w:t>
      </w:r>
      <w:r w:rsidRPr="008E74A1">
        <w:rPr>
          <w:rFonts w:ascii="GHEA Grapalat" w:eastAsia="GHEA Grapalat" w:hAnsi="GHEA Grapalat" w:cs="GHEA Grapalat"/>
          <w:bCs/>
          <w:sz w:val="22"/>
          <w:szCs w:val="22"/>
        </w:rPr>
        <w:t xml:space="preserve">եղել ներհանրապետական ավտոմոբիլային և երկաթուղային բեռնափոխադրումների նվազմամբ (նպաստումները՝ համապատասխանաբար՝ 6.5 և 3.2 տոկոսային կետեր)՝ </w:t>
      </w:r>
      <w:r w:rsidRPr="0095192C">
        <w:rPr>
          <w:rFonts w:ascii="GHEA Grapalat" w:eastAsia="GHEA Grapalat" w:hAnsi="GHEA Grapalat" w:cs="GHEA Grapalat"/>
          <w:bCs/>
          <w:sz w:val="22"/>
          <w:szCs w:val="22"/>
        </w:rPr>
        <w:t>հիմնականում պայմանավորված</w:t>
      </w:r>
      <w:r w:rsidR="00CA6DDB">
        <w:rPr>
          <w:rFonts w:ascii="GHEA Grapalat" w:eastAsia="GHEA Grapalat" w:hAnsi="GHEA Grapalat" w:cs="GHEA Grapalat"/>
          <w:bCs/>
          <w:sz w:val="22"/>
          <w:szCs w:val="22"/>
        </w:rPr>
        <w:t xml:space="preserve"> 2024</w:t>
      </w:r>
      <w:r w:rsidRPr="0095192C">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95192C">
        <w:rPr>
          <w:rFonts w:ascii="GHEA Grapalat" w:eastAsia="GHEA Grapalat" w:hAnsi="GHEA Grapalat" w:cs="GHEA Grapalat"/>
          <w:bCs/>
          <w:sz w:val="22"/>
          <w:szCs w:val="22"/>
        </w:rPr>
        <w:t xml:space="preserve"> առաջին կեսին Սոթքի հանքավայրի չաշխատելու հանգամանքով:</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4"/>
        <w:gridCol w:w="4894"/>
      </w:tblGrid>
      <w:tr w:rsidR="00575C6C" w:rsidRPr="00E87496" w14:paraId="323A77DD" w14:textId="77777777" w:rsidTr="00D70CAF">
        <w:trPr>
          <w:trHeight w:val="3846"/>
        </w:trPr>
        <w:tc>
          <w:tcPr>
            <w:tcW w:w="5224" w:type="dxa"/>
          </w:tcPr>
          <w:p w14:paraId="5B8591D6" w14:textId="3ED8F04B" w:rsidR="00575C6C" w:rsidRPr="00E0512F" w:rsidRDefault="00575C6C" w:rsidP="00D70CAF">
            <w:pPr>
              <w:tabs>
                <w:tab w:val="right" w:pos="0"/>
              </w:tabs>
              <w:spacing w:before="120" w:after="80"/>
              <w:rPr>
                <w:rFonts w:ascii="GHEA Grapalat" w:hAnsi="GHEA Grapalat" w:cs="Sylfaen"/>
                <w:i/>
                <w:sz w:val="18"/>
                <w:szCs w:val="18"/>
              </w:rPr>
            </w:pPr>
            <w:r w:rsidRPr="00E0512F">
              <w:rPr>
                <w:rFonts w:ascii="GHEA Grapalat" w:hAnsi="GHEA Grapalat" w:cs="Sylfaen"/>
                <w:b/>
                <w:sz w:val="18"/>
                <w:szCs w:val="18"/>
              </w:rPr>
              <w:lastRenderedPageBreak/>
              <w:t>Գծապատկեր 6.</w:t>
            </w:r>
            <w:r w:rsidR="00B85C24">
              <w:rPr>
                <w:rFonts w:ascii="GHEA Grapalat" w:hAnsi="GHEA Grapalat" w:cs="Sylfaen"/>
                <w:b/>
                <w:sz w:val="18"/>
                <w:szCs w:val="18"/>
              </w:rPr>
              <w:t xml:space="preserve"> </w:t>
            </w:r>
            <w:r w:rsidRPr="00E0512F">
              <w:rPr>
                <w:rFonts w:ascii="GHEA Grapalat" w:hAnsi="GHEA Grapalat" w:cs="Sylfaen"/>
                <w:b/>
                <w:sz w:val="18"/>
                <w:szCs w:val="18"/>
              </w:rPr>
              <w:t>ՏԱՑ և տնտեսության ճյուղերի իրական աճերը նախորդ տարվա նույն ժամանակահատվածի նկատմամբ (%)</w:t>
            </w:r>
            <w:r w:rsidRPr="00E0512F">
              <w:rPr>
                <w:rFonts w:ascii="GHEA Grapalat" w:hAnsi="GHEA Grapalat" w:cs="Sylfaen"/>
                <w:i/>
                <w:sz w:val="18"/>
                <w:szCs w:val="18"/>
              </w:rPr>
              <w:t xml:space="preserve"> </w:t>
            </w:r>
          </w:p>
          <w:p w14:paraId="2E38B4AE" w14:textId="77777777" w:rsidR="00575C6C" w:rsidRPr="00E87496" w:rsidRDefault="00575C6C" w:rsidP="00D70CAF">
            <w:pPr>
              <w:tabs>
                <w:tab w:val="right" w:pos="0"/>
              </w:tabs>
              <w:spacing w:before="120" w:after="80"/>
              <w:rPr>
                <w:rFonts w:ascii="GHEA Grapalat" w:hAnsi="GHEA Grapalat"/>
                <w:sz w:val="16"/>
                <w:szCs w:val="16"/>
                <w:highlight w:val="yellow"/>
              </w:rPr>
            </w:pPr>
            <w:r w:rsidRPr="00F41A8B">
              <w:rPr>
                <w:rFonts w:ascii="GHEA Grapalat" w:hAnsi="GHEA Grapalat"/>
                <w:lang w:val="en-US"/>
              </w:rPr>
              <w:drawing>
                <wp:inline distT="0" distB="0" distL="0" distR="0" wp14:anchorId="4FD0A790" wp14:editId="533CE7DE">
                  <wp:extent cx="3228975" cy="2249170"/>
                  <wp:effectExtent l="0" t="0" r="9525"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84" w:type="dxa"/>
          </w:tcPr>
          <w:p w14:paraId="50784D4E" w14:textId="1DB73B4D" w:rsidR="00575C6C" w:rsidRPr="00E0512F" w:rsidRDefault="00575C6C" w:rsidP="006A77D6">
            <w:pPr>
              <w:tabs>
                <w:tab w:val="right" w:pos="0"/>
              </w:tabs>
              <w:spacing w:before="120"/>
              <w:rPr>
                <w:rFonts w:ascii="GHEA Grapalat" w:hAnsi="GHEA Grapalat" w:cs="Sylfaen"/>
                <w:sz w:val="18"/>
                <w:szCs w:val="18"/>
                <w:highlight w:val="yellow"/>
              </w:rPr>
            </w:pPr>
            <w:r w:rsidRPr="00E0512F">
              <w:rPr>
                <w:rStyle w:val="Char0"/>
                <w:lang w:val="en-US"/>
              </w:rPr>
              <w:drawing>
                <wp:anchor distT="0" distB="0" distL="114300" distR="114300" simplePos="0" relativeHeight="251674112" behindDoc="1" locked="0" layoutInCell="1" allowOverlap="1" wp14:anchorId="63964CDD" wp14:editId="51FB8EB7">
                  <wp:simplePos x="0" y="0"/>
                  <wp:positionH relativeFrom="column">
                    <wp:posOffset>-29210</wp:posOffset>
                  </wp:positionH>
                  <wp:positionV relativeFrom="paragraph">
                    <wp:posOffset>687705</wp:posOffset>
                  </wp:positionV>
                  <wp:extent cx="2952750" cy="2219325"/>
                  <wp:effectExtent l="0" t="0" r="0" b="9525"/>
                  <wp:wrapTight wrapText="bothSides">
                    <wp:wrapPolygon edited="0">
                      <wp:start x="0" y="0"/>
                      <wp:lineTo x="0" y="21507"/>
                      <wp:lineTo x="21461" y="21507"/>
                      <wp:lineTo x="21461"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Pr="00E0512F">
              <w:rPr>
                <w:rStyle w:val="Char0"/>
              </w:rPr>
              <w:t>Գծապատկեր 7.</w:t>
            </w:r>
            <w:r w:rsidRPr="00E0512F">
              <w:rPr>
                <w:rFonts w:ascii="GHEA Grapalat" w:hAnsi="GHEA Grapalat" w:cs="Sylfaen"/>
                <w:sz w:val="18"/>
                <w:szCs w:val="18"/>
              </w:rPr>
              <w:t xml:space="preserve"> </w:t>
            </w:r>
            <w:r w:rsidRPr="00E0512F">
              <w:rPr>
                <w:rFonts w:ascii="GHEA Grapalat" w:hAnsi="GHEA Grapalat" w:cs="Sylfaen"/>
                <w:b/>
                <w:sz w:val="18"/>
                <w:szCs w:val="18"/>
              </w:rPr>
              <w:t>ՏԱՑ և տնտեսության ճյուղերի իրական աճերը նախորդ տարվա</w:t>
            </w:r>
            <w:r w:rsidRPr="00E0512F">
              <w:rPr>
                <w:rFonts w:ascii="GHEA Grapalat" w:hAnsi="GHEA Grapalat" w:cs="Sylfaen"/>
                <w:sz w:val="18"/>
                <w:szCs w:val="18"/>
              </w:rPr>
              <w:t xml:space="preserve"> </w:t>
            </w:r>
            <w:r w:rsidRPr="00E0512F">
              <w:rPr>
                <w:rFonts w:ascii="GHEA Grapalat" w:hAnsi="GHEA Grapalat" w:cs="Sylfaen"/>
                <w:b/>
                <w:sz w:val="18"/>
                <w:szCs w:val="18"/>
              </w:rPr>
              <w:t>նույն ամսվա նկատմամբ (%)</w:t>
            </w:r>
          </w:p>
        </w:tc>
      </w:tr>
      <w:tr w:rsidR="00575C6C" w:rsidRPr="00E87496" w14:paraId="4FE0A4DC" w14:textId="77777777" w:rsidTr="00D70CAF">
        <w:trPr>
          <w:trHeight w:val="450"/>
        </w:trPr>
        <w:tc>
          <w:tcPr>
            <w:tcW w:w="5224" w:type="dxa"/>
          </w:tcPr>
          <w:p w14:paraId="08151A8D" w14:textId="77777777" w:rsidR="00575C6C" w:rsidRPr="00E87496" w:rsidRDefault="00575C6C" w:rsidP="00D70CAF">
            <w:pPr>
              <w:tabs>
                <w:tab w:val="right" w:pos="0"/>
              </w:tabs>
              <w:spacing w:before="120" w:after="60"/>
              <w:contextualSpacing/>
              <w:rPr>
                <w:rFonts w:ascii="GHEA Grapalat" w:hAnsi="GHEA Grapalat" w:cs="Sylfaen"/>
                <w:b/>
                <w:bCs/>
                <w:i/>
                <w:sz w:val="6"/>
                <w:szCs w:val="6"/>
                <w:highlight w:val="yellow"/>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4984" w:type="dxa"/>
          </w:tcPr>
          <w:p w14:paraId="2CA84EB8" w14:textId="77777777" w:rsidR="00575C6C" w:rsidRPr="00E87496" w:rsidRDefault="00575C6C" w:rsidP="00D70CAF">
            <w:pPr>
              <w:tabs>
                <w:tab w:val="right" w:pos="0"/>
              </w:tabs>
              <w:spacing w:before="120" w:after="60"/>
              <w:contextualSpacing/>
              <w:jc w:val="both"/>
              <w:rPr>
                <w:rFonts w:ascii="GHEA Grapalat" w:hAnsi="GHEA Grapalat" w:cs="Sylfaen"/>
                <w:b/>
                <w:i/>
                <w:sz w:val="4"/>
                <w:szCs w:val="4"/>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r w:rsidR="00575C6C" w:rsidRPr="00E87496" w14:paraId="763626BC" w14:textId="77777777" w:rsidTr="00D70CAF">
        <w:trPr>
          <w:trHeight w:val="450"/>
        </w:trPr>
        <w:tc>
          <w:tcPr>
            <w:tcW w:w="5224" w:type="dxa"/>
          </w:tcPr>
          <w:p w14:paraId="3720FACB" w14:textId="12D83798" w:rsidR="00575C6C" w:rsidRDefault="00575C6C" w:rsidP="00D70CAF">
            <w:pPr>
              <w:tabs>
                <w:tab w:val="right" w:pos="0"/>
              </w:tabs>
              <w:spacing w:before="120" w:after="60"/>
              <w:contextualSpacing/>
              <w:rPr>
                <w:rFonts w:ascii="GHEA Grapalat" w:hAnsi="GHEA Grapalat" w:cs="Sylfaen"/>
                <w:b/>
                <w:sz w:val="18"/>
                <w:szCs w:val="18"/>
              </w:rPr>
            </w:pPr>
            <w:r w:rsidRPr="00E0512F">
              <w:rPr>
                <w:rFonts w:ascii="GHEA Grapalat" w:hAnsi="GHEA Grapalat" w:cs="Sylfaen"/>
                <w:b/>
                <w:sz w:val="18"/>
                <w:szCs w:val="18"/>
              </w:rPr>
              <w:t>Գծապատկեր 8. Տնտեսության ճյուղերի նպաստումները ՏԱՑ-ին (տ.կ.)</w:t>
            </w:r>
            <w:r w:rsidRPr="00E0512F">
              <w:rPr>
                <w:rFonts w:ascii="GHEA Grapalat" w:hAnsi="GHEA Grapalat" w:cs="Sylfaen"/>
                <w:b/>
                <w:sz w:val="18"/>
                <w:szCs w:val="18"/>
                <w:vertAlign w:val="superscript"/>
              </w:rPr>
              <w:footnoteReference w:id="10"/>
            </w:r>
            <w:r w:rsidRPr="00E0512F">
              <w:rPr>
                <w:rFonts w:ascii="GHEA Grapalat" w:hAnsi="GHEA Grapalat" w:cs="Sylfaen"/>
                <w:b/>
                <w:sz w:val="18"/>
                <w:szCs w:val="18"/>
              </w:rPr>
              <w:t xml:space="preserve"> </w:t>
            </w:r>
          </w:p>
          <w:p w14:paraId="0BD979AB" w14:textId="77777777" w:rsidR="006A77D6" w:rsidRPr="00E0512F" w:rsidRDefault="006A77D6" w:rsidP="00D70CAF">
            <w:pPr>
              <w:tabs>
                <w:tab w:val="right" w:pos="0"/>
              </w:tabs>
              <w:spacing w:before="120" w:after="60"/>
              <w:contextualSpacing/>
              <w:rPr>
                <w:rFonts w:ascii="GHEA Grapalat" w:hAnsi="GHEA Grapalat" w:cs="Sylfaen"/>
                <w:b/>
                <w:sz w:val="18"/>
                <w:szCs w:val="18"/>
              </w:rPr>
            </w:pPr>
          </w:p>
          <w:p w14:paraId="07421065"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F41A8B">
              <w:rPr>
                <w:rFonts w:ascii="GHEA Grapalat" w:hAnsi="GHEA Grapalat"/>
                <w:i/>
                <w:sz w:val="16"/>
                <w:szCs w:val="16"/>
                <w:lang w:val="en-US"/>
              </w:rPr>
              <w:drawing>
                <wp:inline distT="0" distB="0" distL="0" distR="0" wp14:anchorId="2905BD8C" wp14:editId="5C4578D4">
                  <wp:extent cx="3095625" cy="1929283"/>
                  <wp:effectExtent l="0" t="0" r="9525"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C7BB395" w14:textId="77777777" w:rsidR="00575C6C" w:rsidRPr="00E87496" w:rsidRDefault="00575C6C" w:rsidP="00D70CAF">
            <w:pPr>
              <w:tabs>
                <w:tab w:val="right" w:pos="0"/>
              </w:tabs>
              <w:spacing w:before="120" w:after="60"/>
              <w:contextualSpacing/>
              <w:jc w:val="both"/>
              <w:rPr>
                <w:rFonts w:ascii="GHEA Grapalat" w:hAnsi="GHEA Grapalat" w:cs="Sylfaen"/>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r w:rsidRPr="002D584B">
              <w:rPr>
                <w:rFonts w:ascii="GHEA Grapalat" w:hAnsi="GHEA Grapalat"/>
              </w:rPr>
              <w:t xml:space="preserve"> </w:t>
            </w:r>
          </w:p>
        </w:tc>
        <w:tc>
          <w:tcPr>
            <w:tcW w:w="4984" w:type="dxa"/>
          </w:tcPr>
          <w:p w14:paraId="00A51A26" w14:textId="796C5459" w:rsidR="00575C6C" w:rsidRPr="00E87496" w:rsidRDefault="00575C6C" w:rsidP="00D70CAF">
            <w:pPr>
              <w:tabs>
                <w:tab w:val="right" w:pos="0"/>
              </w:tabs>
              <w:spacing w:before="120" w:after="60"/>
              <w:contextualSpacing/>
              <w:rPr>
                <w:rFonts w:ascii="GHEA Grapalat" w:hAnsi="GHEA Grapalat"/>
                <w:highlight w:val="yellow"/>
              </w:rPr>
            </w:pPr>
            <w:r w:rsidRPr="00E0512F">
              <w:rPr>
                <w:rFonts w:ascii="GHEA Grapalat" w:hAnsi="GHEA Grapalat" w:cs="Sylfaen"/>
                <w:b/>
                <w:sz w:val="18"/>
                <w:szCs w:val="18"/>
              </w:rPr>
              <w:t>Գծապատկեր 9. Տնտեսության ճյուղերի նպաստումները ՏԱՑ-ին նախորդ տարվա նույն ամսվա նկատմամբ (տ.կ.)</w:t>
            </w:r>
            <w:r w:rsidRPr="00F57747">
              <w:rPr>
                <w:rFonts w:ascii="GHEA Grapalat" w:hAnsi="GHEA Grapalat" w:cs="Sylfaen"/>
                <w:i/>
                <w:sz w:val="22"/>
                <w:szCs w:val="16"/>
                <w:vertAlign w:val="superscript"/>
              </w:rPr>
              <w:t xml:space="preserve"> </w:t>
            </w:r>
            <w:r w:rsidRPr="00F41A8B">
              <w:rPr>
                <w:rFonts w:ascii="GHEA Grapalat" w:hAnsi="GHEA Grapalat"/>
                <w:lang w:val="en-US"/>
              </w:rPr>
              <w:drawing>
                <wp:inline distT="0" distB="0" distL="0" distR="0" wp14:anchorId="7039361A" wp14:editId="7B65C831">
                  <wp:extent cx="2963545" cy="1914525"/>
                  <wp:effectExtent l="0" t="0" r="825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8E8CE10" w14:textId="77777777" w:rsidR="00575C6C" w:rsidRPr="00E87496" w:rsidRDefault="00575C6C" w:rsidP="00D70CAF">
            <w:pPr>
              <w:spacing w:before="40" w:after="60"/>
              <w:jc w:val="both"/>
              <w:rPr>
                <w:rFonts w:ascii="GHEA Grapalat" w:hAnsi="GHEA Grapalat"/>
                <w:i/>
                <w:sz w:val="16"/>
                <w:szCs w:val="16"/>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r>
    </w:tbl>
    <w:p w14:paraId="1678E752" w14:textId="77777777" w:rsidR="00575C6C" w:rsidRDefault="00575C6C" w:rsidP="00575C6C">
      <w:pPr>
        <w:spacing w:line="276" w:lineRule="auto"/>
        <w:ind w:firstLine="547"/>
        <w:jc w:val="both"/>
        <w:rPr>
          <w:rFonts w:ascii="GHEA Grapalat" w:eastAsia="GHEA Grapalat" w:hAnsi="GHEA Grapalat" w:cs="Sylfaen"/>
          <w:b/>
          <w:i/>
          <w:sz w:val="22"/>
          <w:szCs w:val="22"/>
        </w:rPr>
      </w:pPr>
    </w:p>
    <w:p w14:paraId="374EF35B" w14:textId="03729473" w:rsidR="00575C6C" w:rsidRPr="00E87496" w:rsidRDefault="00575C6C" w:rsidP="00575C6C">
      <w:pPr>
        <w:spacing w:line="276" w:lineRule="auto"/>
        <w:ind w:firstLine="567"/>
        <w:jc w:val="both"/>
        <w:rPr>
          <w:rFonts w:ascii="GHEA Grapalat" w:eastAsia="GHEA Grapalat" w:hAnsi="GHEA Grapalat" w:cs="Sylfaen"/>
          <w:b/>
          <w:sz w:val="22"/>
          <w:szCs w:val="22"/>
          <w:highlight w:val="yellow"/>
        </w:rPr>
      </w:pPr>
      <w:r w:rsidRPr="006006E7">
        <w:rPr>
          <w:rFonts w:ascii="GHEA Grapalat" w:eastAsia="GHEA Grapalat" w:hAnsi="GHEA Grapalat" w:cs="Sylfaen"/>
          <w:b/>
          <w:i/>
          <w:sz w:val="22"/>
          <w:szCs w:val="22"/>
        </w:rPr>
        <w:t>Համախառն պահանջարկ:</w:t>
      </w:r>
      <w:r w:rsidRPr="006006E7">
        <w:rPr>
          <w:rFonts w:ascii="GHEA Grapalat" w:eastAsia="GHEA Grapalat" w:hAnsi="GHEA Grapalat" w:cs="Sylfaen"/>
          <w:b/>
          <w:sz w:val="22"/>
          <w:szCs w:val="22"/>
        </w:rPr>
        <w:t xml:space="preserve"> </w:t>
      </w:r>
      <w:r w:rsidR="00CA6DDB" w:rsidRPr="006A77D6">
        <w:rPr>
          <w:rFonts w:ascii="GHEA Grapalat" w:eastAsia="GHEA Grapalat" w:hAnsi="GHEA Grapalat" w:cs="GHEA Grapalat"/>
          <w:sz w:val="22"/>
          <w:szCs w:val="22"/>
        </w:rPr>
        <w:t>2024</w:t>
      </w:r>
      <w:r w:rsidRPr="006A77D6">
        <w:rPr>
          <w:rFonts w:ascii="GHEA Grapalat" w:eastAsia="GHEA Grapalat" w:hAnsi="GHEA Grapalat" w:cs="GHEA Grapalat"/>
          <w:sz w:val="22"/>
          <w:szCs w:val="22"/>
        </w:rPr>
        <w:t>թ</w:t>
      </w:r>
      <w:r w:rsidR="00CA6DDB" w:rsidRPr="006A77D6">
        <w:rPr>
          <w:rFonts w:ascii="GHEA Grapalat" w:eastAsia="GHEA Grapalat" w:hAnsi="GHEA Grapalat" w:cs="GHEA Grapalat"/>
          <w:sz w:val="22"/>
          <w:szCs w:val="22"/>
        </w:rPr>
        <w:t>.</w:t>
      </w:r>
      <w:r w:rsidRPr="006A77D6">
        <w:rPr>
          <w:rFonts w:ascii="GHEA Grapalat" w:eastAsia="GHEA Grapalat" w:hAnsi="GHEA Grapalat" w:cs="GHEA Grapalat"/>
          <w:sz w:val="22"/>
          <w:szCs w:val="22"/>
        </w:rPr>
        <w:t xml:space="preserve"> տնտեսական աճն ուղեկցվել է ինչպես ներքին, այնպես էլ արտաքին պահանջարկի աճով:</w:t>
      </w:r>
      <w:r w:rsidRPr="00F556D7">
        <w:rPr>
          <w:rFonts w:ascii="GHEA Grapalat" w:eastAsia="GHEA Grapalat" w:hAnsi="GHEA Grapalat" w:cs="Sylfaen"/>
          <w:b/>
          <w:sz w:val="22"/>
          <w:szCs w:val="22"/>
        </w:rPr>
        <w:t xml:space="preserve"> </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575C6C" w:rsidRPr="00E87496" w14:paraId="73B0E2E8" w14:textId="77777777" w:rsidTr="00D70CAF">
        <w:trPr>
          <w:trHeight w:val="3846"/>
        </w:trPr>
        <w:tc>
          <w:tcPr>
            <w:tcW w:w="5556" w:type="dxa"/>
          </w:tcPr>
          <w:p w14:paraId="6ADAB73C" w14:textId="597825B2" w:rsidR="00575C6C" w:rsidRPr="00E0512F" w:rsidRDefault="00575C6C" w:rsidP="00D70CAF">
            <w:pPr>
              <w:tabs>
                <w:tab w:val="right" w:pos="0"/>
              </w:tabs>
              <w:spacing w:before="120" w:after="60"/>
              <w:rPr>
                <w:rFonts w:ascii="GHEA Grapalat" w:hAnsi="GHEA Grapalat" w:cs="Sylfaen"/>
                <w:b/>
                <w:sz w:val="18"/>
                <w:szCs w:val="18"/>
              </w:rPr>
            </w:pPr>
            <w:r w:rsidRPr="00E0512F">
              <w:rPr>
                <w:rFonts w:ascii="GHEA Grapalat" w:hAnsi="GHEA Grapalat" w:cs="Sylfaen"/>
                <w:b/>
                <w:sz w:val="18"/>
                <w:szCs w:val="18"/>
              </w:rPr>
              <w:lastRenderedPageBreak/>
              <w:t>Գծապատկեր 10. ՀՆԱ-ի իրական աճը (%) և նպաստումները (տ.կ.) նախորդ տարվա նկատմամբ</w:t>
            </w:r>
          </w:p>
          <w:p w14:paraId="63B45615"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6006E7">
              <w:rPr>
                <w:rFonts w:ascii="GHEA Grapalat" w:hAnsi="GHEA Grapalat"/>
                <w:lang w:val="en-US"/>
              </w:rPr>
              <w:drawing>
                <wp:inline distT="0" distB="0" distL="0" distR="0" wp14:anchorId="15E52AEB" wp14:editId="051F3670">
                  <wp:extent cx="3171825" cy="1816100"/>
                  <wp:effectExtent l="0" t="0" r="9525" b="1270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8574304" w14:textId="77777777" w:rsidR="00575C6C" w:rsidRPr="00E87496" w:rsidRDefault="00575C6C" w:rsidP="00D70CAF">
            <w:pPr>
              <w:tabs>
                <w:tab w:val="right" w:pos="0"/>
              </w:tabs>
              <w:spacing w:before="120" w:after="60"/>
              <w:contextualSpacing/>
              <w:rPr>
                <w:rStyle w:val="Char0"/>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c>
          <w:tcPr>
            <w:tcW w:w="5187" w:type="dxa"/>
          </w:tcPr>
          <w:p w14:paraId="12CC2511" w14:textId="0BB0907D" w:rsidR="00A525F0" w:rsidRDefault="00575C6C" w:rsidP="00A525F0">
            <w:pPr>
              <w:tabs>
                <w:tab w:val="right" w:pos="0"/>
              </w:tabs>
              <w:spacing w:before="120" w:after="60" w:line="240" w:lineRule="auto"/>
              <w:rPr>
                <w:rFonts w:ascii="GHEA Grapalat" w:hAnsi="GHEA Grapalat" w:cs="Sylfaen"/>
                <w:b/>
                <w:sz w:val="18"/>
                <w:szCs w:val="18"/>
              </w:rPr>
            </w:pPr>
            <w:r w:rsidRPr="00E0512F">
              <w:rPr>
                <w:rFonts w:ascii="GHEA Grapalat" w:hAnsi="GHEA Grapalat" w:cs="Sylfaen"/>
                <w:b/>
                <w:sz w:val="18"/>
                <w:szCs w:val="18"/>
              </w:rPr>
              <w:t>Գծապատկեր 11</w:t>
            </w:r>
            <w:r w:rsidRPr="00E0512F">
              <w:rPr>
                <w:rFonts w:ascii="GHEA Grapalat" w:hAnsi="GHEA Grapalat" w:cs="Sylfaen"/>
                <w:b/>
                <w:sz w:val="18"/>
                <w:szCs w:val="18"/>
                <w:lang w:val="en-US"/>
              </w:rPr>
              <w:t>.</w:t>
            </w:r>
            <w:r w:rsidRPr="00E0512F">
              <w:rPr>
                <w:rFonts w:ascii="GHEA Grapalat" w:hAnsi="GHEA Grapalat" w:cs="Sylfaen"/>
                <w:b/>
                <w:sz w:val="18"/>
                <w:szCs w:val="18"/>
              </w:rPr>
              <w:t xml:space="preserve"> ՀՆԱ-ի կառուցվածքը (%)</w:t>
            </w:r>
          </w:p>
          <w:p w14:paraId="0FA3B48D" w14:textId="77777777" w:rsidR="00B55FAC" w:rsidRDefault="00B55FAC" w:rsidP="00B55FAC">
            <w:pPr>
              <w:tabs>
                <w:tab w:val="right" w:pos="0"/>
              </w:tabs>
              <w:spacing w:after="60" w:line="240" w:lineRule="auto"/>
              <w:rPr>
                <w:rFonts w:ascii="GHEA Grapalat" w:hAnsi="GHEA Grapalat" w:cs="Sylfaen"/>
                <w:b/>
                <w:sz w:val="18"/>
                <w:szCs w:val="18"/>
              </w:rPr>
            </w:pPr>
          </w:p>
          <w:p w14:paraId="41B43957" w14:textId="77777777" w:rsidR="00575C6C" w:rsidRPr="00E87496" w:rsidRDefault="00575C6C" w:rsidP="006A77D6">
            <w:pPr>
              <w:tabs>
                <w:tab w:val="right" w:pos="0"/>
              </w:tabs>
              <w:spacing w:after="0"/>
              <w:contextualSpacing/>
              <w:rPr>
                <w:rFonts w:ascii="GHEA Grapalat" w:hAnsi="GHEA Grapalat" w:cs="Sylfaen"/>
                <w:i/>
                <w:sz w:val="16"/>
                <w:szCs w:val="16"/>
                <w:highlight w:val="yellow"/>
              </w:rPr>
            </w:pPr>
            <w:r w:rsidRPr="006006E7">
              <w:rPr>
                <w:rFonts w:ascii="GHEA Grapalat" w:hAnsi="GHEA Grapalat"/>
                <w:sz w:val="16"/>
                <w:szCs w:val="16"/>
                <w:lang w:val="en-US"/>
              </w:rPr>
              <w:drawing>
                <wp:inline distT="0" distB="0" distL="0" distR="0" wp14:anchorId="52B3CACD" wp14:editId="79AFB246">
                  <wp:extent cx="3086100" cy="1854200"/>
                  <wp:effectExtent l="0" t="0" r="0" b="1270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A0883B1" w14:textId="77777777" w:rsidR="00575C6C" w:rsidRPr="00E87496" w:rsidRDefault="00575C6C" w:rsidP="00D70CAF">
            <w:pPr>
              <w:tabs>
                <w:tab w:val="right" w:pos="0"/>
              </w:tabs>
              <w:spacing w:before="120" w:after="60"/>
              <w:contextualSpacing/>
              <w:rPr>
                <w:rStyle w:val="Char0"/>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r>
    </w:tbl>
    <w:p w14:paraId="09F40B82" w14:textId="77777777" w:rsidR="00B55FAC" w:rsidRPr="00B55FAC" w:rsidRDefault="00B55FAC" w:rsidP="00B55FAC">
      <w:pPr>
        <w:spacing w:line="276" w:lineRule="auto"/>
        <w:ind w:firstLine="567"/>
        <w:jc w:val="both"/>
        <w:rPr>
          <w:rFonts w:ascii="GHEA Grapalat" w:eastAsia="GHEA Grapalat" w:hAnsi="GHEA Grapalat" w:cs="GHEA Grapalat"/>
          <w:bCs/>
          <w:sz w:val="22"/>
          <w:szCs w:val="22"/>
        </w:rPr>
      </w:pPr>
    </w:p>
    <w:p w14:paraId="63FDD4AB" w14:textId="466774AE" w:rsidR="00575C6C" w:rsidRPr="00E87496" w:rsidRDefault="00575C6C" w:rsidP="00B55FAC">
      <w:pPr>
        <w:spacing w:line="276" w:lineRule="auto"/>
        <w:ind w:firstLine="567"/>
        <w:jc w:val="both"/>
        <w:rPr>
          <w:rFonts w:ascii="GHEA Grapalat" w:eastAsia="GHEA Grapalat" w:hAnsi="GHEA Grapalat" w:cs="GHEA Grapalat"/>
          <w:bCs/>
          <w:sz w:val="22"/>
          <w:szCs w:val="22"/>
          <w:highlight w:val="yellow"/>
        </w:rPr>
      </w:pPr>
      <w:r w:rsidRPr="00B153AD">
        <w:rPr>
          <w:rFonts w:ascii="GHEA Grapalat" w:eastAsia="GHEA Grapalat" w:hAnsi="GHEA Grapalat" w:cs="GHEA Grapalat"/>
          <w:b/>
          <w:bCs/>
          <w:i/>
          <w:iCs/>
          <w:sz w:val="22"/>
          <w:szCs w:val="22"/>
        </w:rPr>
        <w:t>Սպառում։</w:t>
      </w:r>
      <w:r w:rsidRPr="00B153AD">
        <w:rPr>
          <w:rFonts w:ascii="GHEA Grapalat" w:eastAsia="GHEA Grapalat" w:hAnsi="GHEA Grapalat" w:cs="GHEA Grapalat"/>
          <w:sz w:val="22"/>
          <w:szCs w:val="22"/>
        </w:rPr>
        <w:t xml:space="preserve"> </w:t>
      </w:r>
      <w:r w:rsidR="00CA6DDB">
        <w:rPr>
          <w:rFonts w:ascii="GHEA Grapalat" w:eastAsia="GHEA Grapalat" w:hAnsi="GHEA Grapalat" w:cs="GHEA Grapalat"/>
          <w:bCs/>
          <w:sz w:val="22"/>
          <w:szCs w:val="22"/>
        </w:rPr>
        <w:t>2024</w:t>
      </w:r>
      <w:r w:rsidRPr="00FE48F7">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FE48F7">
        <w:rPr>
          <w:rFonts w:ascii="GHEA Grapalat" w:eastAsia="GHEA Grapalat" w:hAnsi="GHEA Grapalat" w:cs="GHEA Grapalat"/>
          <w:bCs/>
          <w:sz w:val="22"/>
          <w:szCs w:val="22"/>
        </w:rPr>
        <w:t xml:space="preserve"> սպառումն իրական արտահայտությամբ աճել է </w:t>
      </w:r>
      <w:r w:rsidRPr="00985437">
        <w:rPr>
          <w:rFonts w:ascii="GHEA Grapalat" w:eastAsia="GHEA Grapalat" w:hAnsi="GHEA Grapalat" w:cs="GHEA Grapalat"/>
          <w:bCs/>
          <w:sz w:val="22"/>
          <w:szCs w:val="22"/>
        </w:rPr>
        <w:t>1.6</w:t>
      </w:r>
      <w:r w:rsidRPr="00FE48F7">
        <w:rPr>
          <w:rFonts w:ascii="GHEA Grapalat" w:eastAsia="GHEA Grapalat" w:hAnsi="GHEA Grapalat" w:cs="GHEA Grapalat"/>
          <w:bCs/>
          <w:sz w:val="22"/>
          <w:szCs w:val="22"/>
        </w:rPr>
        <w:t>%-ով՝</w:t>
      </w:r>
      <w:r w:rsidRPr="00CA6DDB">
        <w:rPr>
          <w:rFonts w:ascii="GHEA Grapalat" w:eastAsia="GHEA Grapalat" w:hAnsi="GHEA Grapalat" w:cs="GHEA Grapalat"/>
          <w:bCs/>
          <w:sz w:val="22"/>
          <w:szCs w:val="22"/>
        </w:rPr>
        <w:t xml:space="preserve"> </w:t>
      </w:r>
      <w:r w:rsidRPr="00985437">
        <w:rPr>
          <w:rFonts w:ascii="GHEA Grapalat" w:eastAsia="GHEA Grapalat" w:hAnsi="GHEA Grapalat" w:cs="GHEA Grapalat"/>
          <w:bCs/>
          <w:sz w:val="22"/>
          <w:szCs w:val="22"/>
        </w:rPr>
        <w:t>պայմանավորված մասնավոր սպառման աճով:</w:t>
      </w:r>
      <w:r w:rsidRPr="00274764">
        <w:rPr>
          <w:rFonts w:ascii="GHEA Grapalat" w:eastAsia="GHEA Grapalat" w:hAnsi="GHEA Grapalat" w:cs="GHEA Grapalat"/>
          <w:bCs/>
          <w:sz w:val="22"/>
          <w:szCs w:val="22"/>
        </w:rPr>
        <w:t xml:space="preserve"> </w:t>
      </w:r>
      <w:r w:rsidRPr="007950E6">
        <w:rPr>
          <w:rFonts w:ascii="GHEA Grapalat" w:eastAsia="GHEA Grapalat" w:hAnsi="GHEA Grapalat" w:cs="GHEA Grapalat"/>
          <w:bCs/>
          <w:sz w:val="22"/>
          <w:szCs w:val="22"/>
        </w:rPr>
        <w:t xml:space="preserve">Մասնավոր սպառման աճին նպաստել են բնակչության տնօրինվող եկամտի և սպառողական վարկավորման աճերը: </w:t>
      </w:r>
      <w:r>
        <w:rPr>
          <w:rFonts w:ascii="GHEA Grapalat" w:eastAsia="GHEA Grapalat" w:hAnsi="GHEA Grapalat" w:cs="GHEA Grapalat"/>
          <w:bCs/>
          <w:sz w:val="22"/>
          <w:szCs w:val="22"/>
        </w:rPr>
        <w:t>Ս</w:t>
      </w:r>
      <w:r w:rsidRPr="007950E6">
        <w:rPr>
          <w:rFonts w:ascii="GHEA Grapalat" w:eastAsia="GHEA Grapalat" w:hAnsi="GHEA Grapalat" w:cs="GHEA Grapalat"/>
          <w:bCs/>
          <w:sz w:val="22"/>
          <w:szCs w:val="22"/>
        </w:rPr>
        <w:t>պառման աճին դրական նպաստում է ունեցել նաև Լեռնային Ղարաբաղից ՀՀ բռնի տեղահանված բնակչության սպառումը:</w:t>
      </w:r>
    </w:p>
    <w:p w14:paraId="1BD47DAA" w14:textId="56B5F57F" w:rsidR="00575C6C" w:rsidRPr="00875F89" w:rsidRDefault="00575C6C" w:rsidP="00575C6C">
      <w:pPr>
        <w:spacing w:line="276" w:lineRule="auto"/>
        <w:ind w:firstLine="567"/>
        <w:jc w:val="both"/>
        <w:rPr>
          <w:rFonts w:ascii="GHEA Grapalat" w:eastAsia="GHEA Grapalat" w:hAnsi="GHEA Grapalat" w:cs="GHEA Grapalat"/>
          <w:bCs/>
          <w:sz w:val="22"/>
          <w:szCs w:val="22"/>
        </w:rPr>
      </w:pPr>
      <w:r w:rsidRPr="00B153AD">
        <w:rPr>
          <w:rFonts w:ascii="GHEA Grapalat" w:eastAsia="GHEA Grapalat" w:hAnsi="GHEA Grapalat" w:cs="GHEA Grapalat"/>
          <w:b/>
          <w:bCs/>
          <w:i/>
          <w:iCs/>
          <w:sz w:val="22"/>
          <w:szCs w:val="22"/>
        </w:rPr>
        <w:t>Ներդրումներ։</w:t>
      </w:r>
      <w:r w:rsidRPr="00B153AD">
        <w:rPr>
          <w:rFonts w:ascii="GHEA Grapalat" w:eastAsia="GHEA Grapalat" w:hAnsi="GHEA Grapalat" w:cs="GHEA Grapalat"/>
          <w:sz w:val="22"/>
          <w:szCs w:val="22"/>
        </w:rPr>
        <w:t xml:space="preserve"> </w:t>
      </w:r>
      <w:r w:rsidRPr="00654515">
        <w:rPr>
          <w:rFonts w:ascii="GHEA Grapalat" w:eastAsia="GHEA Grapalat" w:hAnsi="GHEA Grapalat" w:cs="GHEA Grapalat"/>
          <w:bCs/>
          <w:sz w:val="22"/>
          <w:szCs w:val="22"/>
        </w:rPr>
        <w:t xml:space="preserve">Հաշվետու </w:t>
      </w:r>
      <w:r w:rsidR="00D43E19" w:rsidRPr="008040E9">
        <w:rPr>
          <w:rFonts w:ascii="GHEA Grapalat" w:eastAsia="GHEA Grapalat" w:hAnsi="GHEA Grapalat" w:cs="GHEA Grapalat"/>
          <w:bCs/>
          <w:sz w:val="22"/>
          <w:szCs w:val="22"/>
        </w:rPr>
        <w:t>տար</w:t>
      </w:r>
      <w:r w:rsidRPr="00654515">
        <w:rPr>
          <w:rFonts w:ascii="GHEA Grapalat" w:eastAsia="GHEA Grapalat" w:hAnsi="GHEA Grapalat" w:cs="GHEA Grapalat"/>
          <w:bCs/>
          <w:sz w:val="22"/>
          <w:szCs w:val="22"/>
        </w:rPr>
        <w:t xml:space="preserve">ում կապիտալ ներդրումները նախորդ տարվա նկատմամբ իրական արտահայտությամբ </w:t>
      </w:r>
      <w:r w:rsidRPr="00ED5A8B">
        <w:rPr>
          <w:rFonts w:ascii="GHEA Grapalat" w:eastAsia="GHEA Grapalat" w:hAnsi="GHEA Grapalat" w:cs="GHEA Grapalat"/>
          <w:bCs/>
          <w:sz w:val="22"/>
          <w:szCs w:val="22"/>
        </w:rPr>
        <w:t xml:space="preserve">աճել են 11.1%-ով՝ </w:t>
      </w:r>
      <w:r w:rsidRPr="001B40EE">
        <w:rPr>
          <w:rFonts w:ascii="GHEA Grapalat" w:eastAsia="GHEA Grapalat" w:hAnsi="GHEA Grapalat" w:cs="GHEA Grapalat"/>
          <w:bCs/>
          <w:sz w:val="22"/>
          <w:szCs w:val="22"/>
        </w:rPr>
        <w:t xml:space="preserve">հիմնականում պայմանավորված մասնավոր ներդրումների աճով: </w:t>
      </w:r>
      <w:r w:rsidRPr="00875F89">
        <w:rPr>
          <w:rFonts w:ascii="GHEA Grapalat" w:eastAsia="GHEA Grapalat" w:hAnsi="GHEA Grapalat" w:cs="GHEA Grapalat"/>
          <w:bCs/>
          <w:sz w:val="22"/>
          <w:szCs w:val="22"/>
        </w:rPr>
        <w:t xml:space="preserve">Մասնավոր ներդրումների աճի վրա դրական ազդեցություն </w:t>
      </w:r>
      <w:r w:rsidR="00040CA2" w:rsidRPr="008040E9">
        <w:rPr>
          <w:rFonts w:ascii="GHEA Grapalat" w:eastAsia="GHEA Grapalat" w:hAnsi="GHEA Grapalat" w:cs="GHEA Grapalat"/>
          <w:bCs/>
          <w:sz w:val="22"/>
          <w:szCs w:val="22"/>
        </w:rPr>
        <w:t>է</w:t>
      </w:r>
      <w:r w:rsidRPr="00875F89">
        <w:rPr>
          <w:rFonts w:ascii="GHEA Grapalat" w:eastAsia="GHEA Grapalat" w:hAnsi="GHEA Grapalat" w:cs="GHEA Grapalat"/>
          <w:bCs/>
          <w:sz w:val="22"/>
          <w:szCs w:val="22"/>
        </w:rPr>
        <w:t xml:space="preserve"> ունեցել </w:t>
      </w:r>
      <w:r w:rsidR="009C150D">
        <w:rPr>
          <w:rFonts w:ascii="GHEA Grapalat" w:eastAsia="GHEA Grapalat" w:hAnsi="GHEA Grapalat" w:cs="GHEA Grapalat"/>
          <w:bCs/>
          <w:sz w:val="22"/>
          <w:szCs w:val="22"/>
        </w:rPr>
        <w:t xml:space="preserve"> հիպոտեկ</w:t>
      </w:r>
      <w:r w:rsidRPr="00875F89">
        <w:rPr>
          <w:rFonts w:ascii="GHEA Grapalat" w:eastAsia="GHEA Grapalat" w:hAnsi="GHEA Grapalat" w:cs="GHEA Grapalat"/>
          <w:bCs/>
          <w:sz w:val="22"/>
          <w:szCs w:val="22"/>
        </w:rPr>
        <w:t>ային և շինարարության վարկերի ծավալների աճը:</w:t>
      </w:r>
    </w:p>
    <w:p w14:paraId="41E5988E" w14:textId="339A6A9F" w:rsidR="00575C6C" w:rsidRPr="00E87496" w:rsidRDefault="00575C6C" w:rsidP="00575C6C">
      <w:pPr>
        <w:spacing w:line="276" w:lineRule="auto"/>
        <w:ind w:firstLine="567"/>
        <w:jc w:val="both"/>
        <w:rPr>
          <w:rFonts w:ascii="GHEA Grapalat" w:eastAsia="GHEA Grapalat" w:hAnsi="GHEA Grapalat" w:cs="GHEA Grapalat"/>
          <w:sz w:val="22"/>
          <w:szCs w:val="22"/>
          <w:highlight w:val="yellow"/>
        </w:rPr>
      </w:pPr>
      <w:r w:rsidRPr="00373915">
        <w:rPr>
          <w:rFonts w:ascii="GHEA Grapalat" w:eastAsia="GHEA Grapalat" w:hAnsi="GHEA Grapalat" w:cs="GHEA Grapalat"/>
          <w:sz w:val="22"/>
          <w:szCs w:val="22"/>
        </w:rPr>
        <w:t xml:space="preserve">Ներդրումների աճը հիմնականում պայմանավորված է եղել </w:t>
      </w:r>
      <w:r w:rsidRPr="0025108B">
        <w:rPr>
          <w:rFonts w:ascii="GHEA Grapalat" w:eastAsia="GHEA Grapalat" w:hAnsi="GHEA Grapalat" w:cs="GHEA Grapalat"/>
          <w:sz w:val="22"/>
          <w:szCs w:val="22"/>
        </w:rPr>
        <w:t>անշարժ գույքի հետ կապված գործունեության, էլեկտրականության,</w:t>
      </w:r>
      <w:r w:rsidRPr="00495BAB">
        <w:rPr>
          <w:rFonts w:ascii="GHEA Grapalat" w:eastAsia="GHEA Grapalat" w:hAnsi="GHEA Grapalat" w:cs="GHEA Grapalat"/>
          <w:sz w:val="22"/>
          <w:szCs w:val="22"/>
        </w:rPr>
        <w:t xml:space="preserve"> գազի, գոլորշու և լավորակ օդի մատակարար</w:t>
      </w:r>
      <w:r w:rsidR="00040CA2" w:rsidRPr="008040E9">
        <w:rPr>
          <w:rFonts w:ascii="GHEA Grapalat" w:eastAsia="GHEA Grapalat" w:hAnsi="GHEA Grapalat" w:cs="GHEA Grapalat"/>
          <w:sz w:val="22"/>
          <w:szCs w:val="22"/>
        </w:rPr>
        <w:t>ման</w:t>
      </w:r>
      <w:r w:rsidRPr="0025108B">
        <w:rPr>
          <w:rFonts w:ascii="GHEA Grapalat" w:eastAsia="GHEA Grapalat" w:hAnsi="GHEA Grapalat" w:cs="GHEA Grapalat"/>
          <w:sz w:val="22"/>
          <w:szCs w:val="22"/>
        </w:rPr>
        <w:t xml:space="preserve">, </w:t>
      </w:r>
      <w:r w:rsidRPr="006B1962">
        <w:rPr>
          <w:rFonts w:ascii="GHEA Grapalat" w:eastAsia="GHEA Grapalat" w:hAnsi="GHEA Grapalat" w:cs="GHEA Grapalat"/>
          <w:sz w:val="22"/>
          <w:szCs w:val="22"/>
        </w:rPr>
        <w:t>կրթության, ինչպես նաև առևտրի</w:t>
      </w:r>
      <w:r w:rsidRPr="006B1962">
        <w:rPr>
          <w:rFonts w:ascii="GHEA Grapalat" w:hAnsi="GHEA Grapalat"/>
        </w:rPr>
        <w:t xml:space="preserve"> </w:t>
      </w:r>
      <w:r w:rsidRPr="006B1962">
        <w:rPr>
          <w:rFonts w:ascii="GHEA Grapalat" w:eastAsia="GHEA Grapalat" w:hAnsi="GHEA Grapalat" w:cs="GHEA Grapalat"/>
          <w:sz w:val="22"/>
          <w:szCs w:val="22"/>
        </w:rPr>
        <w:t>ոլորտներում կատարված ներդրումների աճերով։</w:t>
      </w:r>
      <w:r w:rsidRPr="006B1962">
        <w:rPr>
          <w:rFonts w:ascii="GHEA Grapalat" w:eastAsia="GHEA Grapalat" w:hAnsi="GHEA Grapalat" w:cs="GHEA Grapalat"/>
          <w:sz w:val="22"/>
          <w:szCs w:val="22"/>
          <w:vertAlign w:val="superscript"/>
        </w:rPr>
        <w:footnoteReference w:id="11"/>
      </w:r>
    </w:p>
    <w:p w14:paraId="201A6976" w14:textId="6025EE3D" w:rsidR="00575C6C" w:rsidRPr="001B3775" w:rsidRDefault="00575C6C" w:rsidP="00575C6C">
      <w:pPr>
        <w:spacing w:line="276" w:lineRule="auto"/>
        <w:ind w:firstLine="567"/>
        <w:jc w:val="both"/>
        <w:rPr>
          <w:rFonts w:ascii="GHEA Grapalat" w:eastAsia="GHEA Grapalat" w:hAnsi="GHEA Grapalat" w:cs="GHEA Grapalat"/>
          <w:bCs/>
          <w:sz w:val="20"/>
          <w:szCs w:val="22"/>
        </w:rPr>
      </w:pPr>
      <w:r w:rsidRPr="00B153AD">
        <w:rPr>
          <w:rFonts w:ascii="GHEA Grapalat" w:eastAsia="GHEA Grapalat" w:hAnsi="GHEA Grapalat" w:cs="GHEA Grapalat"/>
          <w:b/>
          <w:bCs/>
          <w:i/>
          <w:iCs/>
          <w:sz w:val="22"/>
          <w:szCs w:val="22"/>
        </w:rPr>
        <w:t>Զուտ արտահանում։</w:t>
      </w:r>
      <w:r w:rsidRPr="00B153AD">
        <w:rPr>
          <w:rFonts w:ascii="GHEA Grapalat" w:eastAsia="GHEA Grapalat" w:hAnsi="GHEA Grapalat" w:cs="GHEA Grapalat"/>
          <w:sz w:val="22"/>
          <w:szCs w:val="22"/>
        </w:rPr>
        <w:t xml:space="preserve"> </w:t>
      </w:r>
      <w:r w:rsidRPr="004F6C38">
        <w:rPr>
          <w:rFonts w:ascii="GHEA Grapalat" w:eastAsia="GHEA Grapalat" w:hAnsi="GHEA Grapalat" w:cs="GHEA Grapalat"/>
          <w:bCs/>
          <w:sz w:val="22"/>
          <w:szCs w:val="22"/>
        </w:rPr>
        <w:t>Ապրանքների և ծառայությունների արտահանման իրական ծավալներն</w:t>
      </w:r>
      <w:r w:rsidRPr="00E87496">
        <w:rPr>
          <w:rFonts w:ascii="GHEA Grapalat" w:eastAsia="GHEA Grapalat" w:hAnsi="GHEA Grapalat" w:cs="GHEA Grapalat"/>
          <w:bCs/>
          <w:sz w:val="22"/>
          <w:szCs w:val="22"/>
          <w:highlight w:val="yellow"/>
        </w:rPr>
        <w:t xml:space="preserve"> </w:t>
      </w:r>
      <w:r w:rsidRPr="00DA1035">
        <w:rPr>
          <w:rFonts w:ascii="GHEA Grapalat" w:eastAsia="GHEA Grapalat" w:hAnsi="GHEA Grapalat" w:cs="GHEA Grapalat"/>
          <w:bCs/>
          <w:sz w:val="22"/>
          <w:szCs w:val="22"/>
        </w:rPr>
        <w:t>աճել են 35.6%-ով`</w:t>
      </w:r>
      <w:r w:rsidRPr="004F6C38">
        <w:rPr>
          <w:rFonts w:ascii="GHEA Grapalat" w:eastAsia="GHEA Grapalat" w:hAnsi="GHEA Grapalat" w:cs="GHEA Grapalat"/>
          <w:bCs/>
          <w:sz w:val="22"/>
          <w:szCs w:val="22"/>
        </w:rPr>
        <w:t xml:space="preserve"> </w:t>
      </w:r>
      <w:r w:rsidRPr="00470D9F">
        <w:rPr>
          <w:rFonts w:ascii="GHEA Grapalat" w:eastAsia="GHEA Grapalat" w:hAnsi="GHEA Grapalat" w:cs="GHEA Grapalat"/>
          <w:bCs/>
          <w:sz w:val="22"/>
          <w:szCs w:val="22"/>
        </w:rPr>
        <w:t>պայմանավորված արտաքին պահանջարկի, մասնավորապես</w:t>
      </w:r>
      <w:r w:rsidR="00040CA2" w:rsidRPr="008040E9">
        <w:rPr>
          <w:rFonts w:ascii="GHEA Grapalat" w:eastAsia="GHEA Grapalat" w:hAnsi="GHEA Grapalat" w:cs="GHEA Grapalat"/>
          <w:bCs/>
          <w:sz w:val="22"/>
          <w:szCs w:val="22"/>
        </w:rPr>
        <w:t>՝</w:t>
      </w:r>
      <w:r w:rsidRPr="00470D9F">
        <w:rPr>
          <w:rFonts w:ascii="GHEA Grapalat" w:eastAsia="GHEA Grapalat" w:hAnsi="GHEA Grapalat" w:cs="GHEA Grapalat"/>
          <w:bCs/>
          <w:sz w:val="22"/>
          <w:szCs w:val="22"/>
        </w:rPr>
        <w:t xml:space="preserve"> վերաարտահանման (հատկապես՝ </w:t>
      </w:r>
      <w:r>
        <w:rPr>
          <w:rFonts w:ascii="GHEA Grapalat" w:eastAsia="GHEA Grapalat" w:hAnsi="GHEA Grapalat" w:cs="GHEA Grapalat"/>
          <w:bCs/>
          <w:sz w:val="22"/>
          <w:szCs w:val="22"/>
        </w:rPr>
        <w:t xml:space="preserve">դեպի </w:t>
      </w:r>
      <w:r w:rsidRPr="00470D9F">
        <w:rPr>
          <w:rFonts w:ascii="GHEA Grapalat" w:eastAsia="GHEA Grapalat" w:hAnsi="GHEA Grapalat" w:cs="GHEA Grapalat"/>
          <w:bCs/>
          <w:sz w:val="22"/>
          <w:szCs w:val="22"/>
        </w:rPr>
        <w:t>ԱՄԷ) բարձր ծավալներով:</w:t>
      </w:r>
      <w:r>
        <w:rPr>
          <w:rFonts w:ascii="GHEA Grapalat" w:eastAsia="GHEA Grapalat" w:hAnsi="GHEA Grapalat" w:cs="GHEA Grapalat"/>
          <w:bCs/>
          <w:sz w:val="22"/>
          <w:szCs w:val="22"/>
        </w:rPr>
        <w:t xml:space="preserve"> </w:t>
      </w:r>
      <w:r w:rsidRPr="008B50D2">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rPr>
        <w:t>տար</w:t>
      </w:r>
      <w:r w:rsidRPr="008B50D2">
        <w:rPr>
          <w:rFonts w:ascii="GHEA Grapalat" w:eastAsia="GHEA Grapalat" w:hAnsi="GHEA Grapalat" w:cs="GHEA Grapalat"/>
          <w:bCs/>
          <w:sz w:val="22"/>
          <w:szCs w:val="22"/>
        </w:rPr>
        <w:t xml:space="preserve">ում ապրանքների և ծառայությունների ներմուծման ծավալները նախորդ տարվա </w:t>
      </w:r>
      <w:r w:rsidRPr="00DA1035">
        <w:rPr>
          <w:rFonts w:ascii="GHEA Grapalat" w:eastAsia="GHEA Grapalat" w:hAnsi="GHEA Grapalat" w:cs="GHEA Grapalat"/>
          <w:bCs/>
          <w:sz w:val="22"/>
          <w:szCs w:val="22"/>
        </w:rPr>
        <w:t xml:space="preserve">համեմատ աճել են 31.4%-ով` </w:t>
      </w:r>
      <w:r w:rsidRPr="008B50D2">
        <w:rPr>
          <w:rFonts w:ascii="GHEA Grapalat" w:eastAsia="GHEA Grapalat" w:hAnsi="GHEA Grapalat" w:cs="GHEA Grapalat"/>
          <w:bCs/>
          <w:sz w:val="22"/>
          <w:szCs w:val="22"/>
        </w:rPr>
        <w:t xml:space="preserve">պայմանավորված տնտեսական ակտիվությամբ և վերաարտահանման նպատակով իրականացված </w:t>
      </w:r>
      <w:r w:rsidRPr="009F7DA7">
        <w:rPr>
          <w:rFonts w:ascii="GHEA Grapalat" w:eastAsia="GHEA Grapalat" w:hAnsi="GHEA Grapalat" w:cs="GHEA Grapalat"/>
          <w:bCs/>
          <w:sz w:val="22"/>
          <w:szCs w:val="22"/>
        </w:rPr>
        <w:t>ներմուծմամբ:</w:t>
      </w:r>
      <w:r w:rsidRPr="009F7DA7">
        <w:rPr>
          <w:rFonts w:ascii="GHEA Grapalat" w:hAnsi="GHEA Grapalat"/>
          <w:b/>
          <w:i/>
        </w:rPr>
        <w:t xml:space="preserve"> </w:t>
      </w:r>
      <w:r w:rsidRPr="001B3775">
        <w:rPr>
          <w:rFonts w:ascii="GHEA Grapalat" w:hAnsi="GHEA Grapalat"/>
        </w:rPr>
        <w:t>Արդյունքում զ</w:t>
      </w:r>
      <w:r w:rsidRPr="001B3775">
        <w:rPr>
          <w:rFonts w:ascii="GHEA Grapalat" w:hAnsi="GHEA Grapalat"/>
          <w:sz w:val="22"/>
        </w:rPr>
        <w:t>ուտ արտահանումը նախորդ տարվա համեմատ բարելավվել է՝ պայմանավորված հիմնականում ներմուծման նկատմամբ արտահանման առաջանցիկ աճով:</w:t>
      </w:r>
    </w:p>
    <w:p w14:paraId="304CA098" w14:textId="77777777" w:rsidR="00575C6C" w:rsidRPr="00B153AD" w:rsidRDefault="00575C6C" w:rsidP="00575C6C">
      <w:pPr>
        <w:spacing w:line="276" w:lineRule="auto"/>
        <w:rPr>
          <w:rFonts w:ascii="GHEA Grapalat" w:eastAsia="GHEA Grapalat" w:hAnsi="GHEA Grapalat" w:cs="GHEA Grapalat"/>
          <w:bCs/>
          <w:sz w:val="22"/>
          <w:szCs w:val="22"/>
        </w:rPr>
      </w:pPr>
    </w:p>
    <w:p w14:paraId="06B9C110" w14:textId="246168BD" w:rsidR="00575C6C" w:rsidRPr="008A2436" w:rsidRDefault="00575C6C" w:rsidP="00220D60">
      <w:pPr>
        <w:pStyle w:val="Heading4"/>
        <w:numPr>
          <w:ilvl w:val="3"/>
          <w:numId w:val="10"/>
        </w:numPr>
        <w:tabs>
          <w:tab w:val="left" w:pos="709"/>
        </w:tabs>
        <w:spacing w:after="240"/>
        <w:ind w:left="993" w:hanging="993"/>
        <w:rPr>
          <w:i w:val="0"/>
          <w:sz w:val="24"/>
          <w:szCs w:val="24"/>
        </w:rPr>
      </w:pPr>
      <w:r w:rsidRPr="008A2436">
        <w:rPr>
          <w:i w:val="0"/>
          <w:sz w:val="24"/>
          <w:szCs w:val="24"/>
        </w:rPr>
        <w:t xml:space="preserve">Աշխատանքի շուկա </w:t>
      </w:r>
    </w:p>
    <w:p w14:paraId="1F302E20" w14:textId="00F5C4FC" w:rsidR="00575C6C" w:rsidRDefault="00575C6C" w:rsidP="00CA6DDB">
      <w:pPr>
        <w:spacing w:line="276" w:lineRule="auto"/>
        <w:ind w:firstLine="567"/>
        <w:jc w:val="both"/>
        <w:rPr>
          <w:rFonts w:ascii="GHEA Grapalat" w:eastAsia="GHEA Grapalat" w:hAnsi="GHEA Grapalat" w:cs="GHEA Grapalat"/>
          <w:bCs/>
          <w:sz w:val="22"/>
          <w:szCs w:val="22"/>
        </w:rPr>
      </w:pPr>
      <w:r w:rsidRPr="00040CA2">
        <w:rPr>
          <w:rFonts w:ascii="GHEA Grapalat" w:eastAsia="GHEA Grapalat" w:hAnsi="GHEA Grapalat" w:cs="GHEA Grapalat"/>
          <w:bCs/>
          <w:sz w:val="22"/>
          <w:szCs w:val="22"/>
        </w:rPr>
        <w:t>2024թ</w:t>
      </w:r>
      <w:r w:rsidR="00CA6DDB" w:rsidRPr="00040CA2">
        <w:rPr>
          <w:rFonts w:ascii="GHEA Grapalat" w:eastAsia="GHEA Grapalat" w:hAnsi="GHEA Grapalat" w:cs="GHEA Grapalat"/>
          <w:bCs/>
          <w:sz w:val="22"/>
          <w:szCs w:val="22"/>
        </w:rPr>
        <w:t>.</w:t>
      </w:r>
      <w:r w:rsidRPr="00040CA2">
        <w:rPr>
          <w:rFonts w:ascii="GHEA Grapalat" w:eastAsia="GHEA Grapalat" w:hAnsi="GHEA Grapalat" w:cs="GHEA Grapalat"/>
          <w:bCs/>
          <w:sz w:val="22"/>
          <w:szCs w:val="22"/>
        </w:rPr>
        <w:t xml:space="preserve"> գործազրկությունն աճել է, իսկ զբաղվածությունը՝ նվազել: Միաժամանակ գրանցվել է վարձու աշխատողների և աշխատավարձերի աճ։ </w:t>
      </w:r>
      <w:r w:rsidR="00CA6DDB">
        <w:rPr>
          <w:rFonts w:ascii="GHEA Grapalat" w:eastAsia="GHEA Grapalat" w:hAnsi="GHEA Grapalat" w:cs="GHEA Grapalat"/>
          <w:bCs/>
          <w:sz w:val="22"/>
          <w:szCs w:val="22"/>
        </w:rPr>
        <w:t>2024</w:t>
      </w:r>
      <w:r w:rsidRPr="00F526D5">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F526D5">
        <w:rPr>
          <w:rFonts w:ascii="GHEA Grapalat" w:eastAsia="GHEA Grapalat" w:hAnsi="GHEA Grapalat" w:cs="GHEA Grapalat"/>
          <w:bCs/>
          <w:sz w:val="22"/>
          <w:szCs w:val="22"/>
        </w:rPr>
        <w:t>գործազրկության մակարդակը նախորդ տարվա</w:t>
      </w:r>
      <w:r>
        <w:rPr>
          <w:rFonts w:ascii="GHEA Grapalat" w:eastAsia="GHEA Grapalat" w:hAnsi="GHEA Grapalat" w:cs="GHEA Grapalat"/>
          <w:bCs/>
          <w:sz w:val="22"/>
          <w:szCs w:val="22"/>
        </w:rPr>
        <w:t xml:space="preserve"> </w:t>
      </w:r>
      <w:r w:rsidRPr="00AB235C">
        <w:rPr>
          <w:rFonts w:ascii="GHEA Grapalat" w:eastAsia="GHEA Grapalat" w:hAnsi="GHEA Grapalat" w:cs="GHEA Grapalat"/>
          <w:bCs/>
          <w:sz w:val="22"/>
          <w:szCs w:val="22"/>
        </w:rPr>
        <w:t>նկատմամբ</w:t>
      </w:r>
      <w:r w:rsidRPr="00F526D5">
        <w:rPr>
          <w:rFonts w:ascii="GHEA Grapalat" w:eastAsia="GHEA Grapalat" w:hAnsi="GHEA Grapalat" w:cs="GHEA Grapalat"/>
          <w:bCs/>
          <w:sz w:val="22"/>
          <w:szCs w:val="22"/>
        </w:rPr>
        <w:t xml:space="preserve"> </w:t>
      </w:r>
      <w:r w:rsidRPr="00D330BE">
        <w:rPr>
          <w:rFonts w:ascii="GHEA Grapalat" w:eastAsia="GHEA Grapalat" w:hAnsi="GHEA Grapalat" w:cs="GHEA Grapalat"/>
          <w:bCs/>
          <w:sz w:val="22"/>
          <w:szCs w:val="22"/>
        </w:rPr>
        <w:t>աճել է 1.</w:t>
      </w:r>
      <w:r>
        <w:rPr>
          <w:rFonts w:ascii="GHEA Grapalat" w:eastAsia="GHEA Grapalat" w:hAnsi="GHEA Grapalat" w:cs="GHEA Grapalat"/>
          <w:bCs/>
          <w:sz w:val="22"/>
          <w:szCs w:val="22"/>
        </w:rPr>
        <w:t>5</w:t>
      </w:r>
      <w:r w:rsidRPr="00D330BE">
        <w:rPr>
          <w:rFonts w:ascii="GHEA Grapalat" w:eastAsia="GHEA Grapalat" w:hAnsi="GHEA Grapalat" w:cs="GHEA Grapalat"/>
          <w:bCs/>
          <w:sz w:val="22"/>
          <w:szCs w:val="22"/>
        </w:rPr>
        <w:t xml:space="preserve"> տոկոսային</w:t>
      </w:r>
      <w:r w:rsidRPr="00F526D5">
        <w:rPr>
          <w:rFonts w:ascii="GHEA Grapalat" w:eastAsia="GHEA Grapalat" w:hAnsi="GHEA Grapalat" w:cs="GHEA Grapalat"/>
          <w:bCs/>
          <w:sz w:val="22"/>
          <w:szCs w:val="22"/>
        </w:rPr>
        <w:t xml:space="preserve"> կետով՝ կազմելով </w:t>
      </w:r>
      <w:r w:rsidRPr="00D330BE">
        <w:rPr>
          <w:rFonts w:ascii="GHEA Grapalat" w:eastAsia="GHEA Grapalat" w:hAnsi="GHEA Grapalat" w:cs="GHEA Grapalat"/>
          <w:bCs/>
          <w:sz w:val="22"/>
          <w:szCs w:val="22"/>
        </w:rPr>
        <w:t>13.</w:t>
      </w:r>
      <w:r>
        <w:rPr>
          <w:rFonts w:ascii="GHEA Grapalat" w:eastAsia="GHEA Grapalat" w:hAnsi="GHEA Grapalat" w:cs="GHEA Grapalat"/>
          <w:bCs/>
          <w:sz w:val="22"/>
          <w:szCs w:val="22"/>
        </w:rPr>
        <w:t>9</w:t>
      </w:r>
      <w:r w:rsidRPr="00D330BE">
        <w:rPr>
          <w:rFonts w:ascii="GHEA Grapalat" w:eastAsia="GHEA Grapalat" w:hAnsi="GHEA Grapalat" w:cs="GHEA Grapalat"/>
          <w:bCs/>
          <w:sz w:val="22"/>
          <w:szCs w:val="22"/>
        </w:rPr>
        <w:t>%։ Գործազուրկների</w:t>
      </w:r>
      <w:r w:rsidRPr="00032D29">
        <w:rPr>
          <w:rFonts w:ascii="GHEA Grapalat" w:eastAsia="GHEA Grapalat" w:hAnsi="GHEA Grapalat" w:cs="GHEA Grapalat"/>
          <w:bCs/>
          <w:sz w:val="22"/>
          <w:szCs w:val="22"/>
        </w:rPr>
        <w:t xml:space="preserve"> թիվը նույն ժամանակահատվածում </w:t>
      </w:r>
      <w:r>
        <w:rPr>
          <w:rFonts w:ascii="GHEA Grapalat" w:eastAsia="GHEA Grapalat" w:hAnsi="GHEA Grapalat" w:cs="GHEA Grapalat"/>
          <w:bCs/>
          <w:sz w:val="22"/>
          <w:szCs w:val="22"/>
        </w:rPr>
        <w:t>աճ</w:t>
      </w:r>
      <w:r w:rsidRPr="00D330BE">
        <w:rPr>
          <w:rFonts w:ascii="GHEA Grapalat" w:eastAsia="GHEA Grapalat" w:hAnsi="GHEA Grapalat" w:cs="GHEA Grapalat"/>
          <w:bCs/>
          <w:sz w:val="22"/>
          <w:szCs w:val="22"/>
        </w:rPr>
        <w:t>ել է 1</w:t>
      </w:r>
      <w:r>
        <w:rPr>
          <w:rFonts w:ascii="GHEA Grapalat" w:eastAsia="GHEA Grapalat" w:hAnsi="GHEA Grapalat" w:cs="GHEA Grapalat"/>
          <w:bCs/>
          <w:sz w:val="22"/>
          <w:szCs w:val="22"/>
        </w:rPr>
        <w:t>2</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7</w:t>
      </w:r>
      <w:r w:rsidRPr="00D330BE">
        <w:rPr>
          <w:rFonts w:ascii="GHEA Grapalat" w:eastAsia="GHEA Grapalat" w:hAnsi="GHEA Grapalat" w:cs="GHEA Grapalat"/>
          <w:bCs/>
          <w:sz w:val="22"/>
          <w:szCs w:val="22"/>
        </w:rPr>
        <w:t>%-ով</w:t>
      </w:r>
      <w:r w:rsidRPr="00032D29">
        <w:rPr>
          <w:rFonts w:ascii="GHEA Grapalat" w:eastAsia="GHEA Grapalat" w:hAnsi="GHEA Grapalat" w:cs="GHEA Grapalat"/>
          <w:bCs/>
          <w:sz w:val="22"/>
          <w:szCs w:val="22"/>
        </w:rPr>
        <w:t xml:space="preserve">՝ կազմելով </w:t>
      </w:r>
      <w:r w:rsidRPr="00D330BE">
        <w:rPr>
          <w:rFonts w:ascii="GHEA Grapalat" w:eastAsia="GHEA Grapalat" w:hAnsi="GHEA Grapalat" w:cs="GHEA Grapalat"/>
          <w:bCs/>
          <w:sz w:val="22"/>
          <w:szCs w:val="22"/>
        </w:rPr>
        <w:t>18</w:t>
      </w:r>
      <w:r>
        <w:rPr>
          <w:rFonts w:ascii="GHEA Grapalat" w:eastAsia="GHEA Grapalat" w:hAnsi="GHEA Grapalat" w:cs="GHEA Grapalat"/>
          <w:bCs/>
          <w:sz w:val="22"/>
          <w:szCs w:val="22"/>
        </w:rPr>
        <w:t>7</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9</w:t>
      </w:r>
      <w:r w:rsidRPr="00032D29">
        <w:rPr>
          <w:rFonts w:ascii="GHEA Grapalat" w:eastAsia="GHEA Grapalat" w:hAnsi="GHEA Grapalat" w:cs="GHEA Grapalat"/>
          <w:bCs/>
          <w:sz w:val="22"/>
          <w:szCs w:val="22"/>
        </w:rPr>
        <w:t xml:space="preserve"> հազ</w:t>
      </w:r>
      <w:r w:rsidR="00C954CE" w:rsidRPr="008040E9">
        <w:rPr>
          <w:rFonts w:ascii="GHEA Grapalat" w:eastAsia="GHEA Grapalat" w:hAnsi="GHEA Grapalat" w:cs="GHEA Grapalat"/>
          <w:bCs/>
          <w:sz w:val="22"/>
          <w:szCs w:val="22"/>
        </w:rPr>
        <w:t>ար</w:t>
      </w:r>
      <w:r w:rsidRPr="00032D29">
        <w:rPr>
          <w:rFonts w:ascii="GHEA Grapalat" w:eastAsia="GHEA Grapalat" w:hAnsi="GHEA Grapalat" w:cs="GHEA Grapalat"/>
          <w:bCs/>
          <w:sz w:val="22"/>
          <w:szCs w:val="22"/>
        </w:rPr>
        <w:t xml:space="preserve"> մարդ, իսկ զբաղվածների թիվ</w:t>
      </w:r>
      <w:r>
        <w:rPr>
          <w:rFonts w:ascii="GHEA Grapalat" w:eastAsia="GHEA Grapalat" w:hAnsi="GHEA Grapalat" w:cs="GHEA Grapalat"/>
          <w:bCs/>
          <w:sz w:val="22"/>
          <w:szCs w:val="22"/>
        </w:rPr>
        <w:t>ը</w:t>
      </w:r>
      <w:r w:rsidRPr="00032D29">
        <w:rPr>
          <w:rFonts w:ascii="GHEA Grapalat" w:eastAsia="GHEA Grapalat" w:hAnsi="GHEA Grapalat" w:cs="GHEA Grapalat"/>
          <w:bCs/>
          <w:sz w:val="22"/>
          <w:szCs w:val="22"/>
        </w:rPr>
        <w:t xml:space="preserve"> </w:t>
      </w:r>
      <w:r w:rsidRPr="00D330BE">
        <w:rPr>
          <w:rFonts w:ascii="GHEA Grapalat" w:eastAsia="GHEA Grapalat" w:hAnsi="GHEA Grapalat" w:cs="GHEA Grapalat"/>
          <w:bCs/>
          <w:sz w:val="22"/>
          <w:szCs w:val="22"/>
        </w:rPr>
        <w:t>նվազել է 0.</w:t>
      </w:r>
      <w:r>
        <w:rPr>
          <w:rFonts w:ascii="GHEA Grapalat" w:eastAsia="GHEA Grapalat" w:hAnsi="GHEA Grapalat" w:cs="GHEA Grapalat"/>
          <w:bCs/>
          <w:sz w:val="22"/>
          <w:szCs w:val="22"/>
        </w:rPr>
        <w:t>5</w:t>
      </w:r>
      <w:r w:rsidRPr="00D330BE">
        <w:rPr>
          <w:rFonts w:ascii="GHEA Grapalat" w:eastAsia="GHEA Grapalat" w:hAnsi="GHEA Grapalat" w:cs="GHEA Grapalat"/>
          <w:bCs/>
          <w:sz w:val="22"/>
          <w:szCs w:val="22"/>
        </w:rPr>
        <w:t>%-ով՝</w:t>
      </w:r>
      <w:r w:rsidRPr="00032D29">
        <w:rPr>
          <w:rFonts w:ascii="GHEA Grapalat" w:eastAsia="GHEA Grapalat" w:hAnsi="GHEA Grapalat" w:cs="GHEA Grapalat"/>
          <w:bCs/>
          <w:sz w:val="22"/>
          <w:szCs w:val="22"/>
        </w:rPr>
        <w:t xml:space="preserve"> կազմելով </w:t>
      </w:r>
      <w:r w:rsidRPr="00D330BE">
        <w:rPr>
          <w:rFonts w:ascii="GHEA Grapalat" w:eastAsia="GHEA Grapalat" w:hAnsi="GHEA Grapalat" w:cs="GHEA Grapalat"/>
          <w:bCs/>
          <w:sz w:val="22"/>
          <w:szCs w:val="22"/>
        </w:rPr>
        <w:t>1,</w:t>
      </w:r>
      <w:r>
        <w:rPr>
          <w:rFonts w:ascii="GHEA Grapalat" w:eastAsia="GHEA Grapalat" w:hAnsi="GHEA Grapalat" w:cs="GHEA Grapalat"/>
          <w:bCs/>
          <w:sz w:val="22"/>
          <w:szCs w:val="22"/>
        </w:rPr>
        <w:t>168</w:t>
      </w:r>
      <w:r w:rsidRPr="00032D29">
        <w:rPr>
          <w:rFonts w:ascii="GHEA Grapalat" w:eastAsia="GHEA Grapalat" w:hAnsi="GHEA Grapalat" w:cs="GHEA Grapalat"/>
          <w:bCs/>
          <w:sz w:val="22"/>
          <w:szCs w:val="22"/>
        </w:rPr>
        <w:t xml:space="preserve"> հազ</w:t>
      </w:r>
      <w:r w:rsidR="00C954CE" w:rsidRPr="008040E9">
        <w:rPr>
          <w:rFonts w:ascii="GHEA Grapalat" w:eastAsia="GHEA Grapalat" w:hAnsi="GHEA Grapalat" w:cs="GHEA Grapalat"/>
          <w:bCs/>
          <w:sz w:val="22"/>
          <w:szCs w:val="22"/>
        </w:rPr>
        <w:t>ար</w:t>
      </w:r>
      <w:r w:rsidRPr="00032D29">
        <w:rPr>
          <w:rFonts w:ascii="GHEA Grapalat" w:eastAsia="GHEA Grapalat" w:hAnsi="GHEA Grapalat" w:cs="GHEA Grapalat"/>
          <w:bCs/>
          <w:sz w:val="22"/>
          <w:szCs w:val="22"/>
        </w:rPr>
        <w:t xml:space="preserve"> մարդ</w:t>
      </w:r>
      <w:r w:rsidRPr="00CA37CD">
        <w:rPr>
          <w:rFonts w:ascii="GHEA Grapalat" w:eastAsia="GHEA Grapalat" w:hAnsi="GHEA Grapalat" w:cs="GHEA Grapalat"/>
          <w:bCs/>
          <w:sz w:val="22"/>
          <w:szCs w:val="22"/>
        </w:rPr>
        <w:t xml:space="preserve">։ </w:t>
      </w:r>
      <w:r w:rsidRPr="00A06DB3">
        <w:rPr>
          <w:rFonts w:ascii="GHEA Grapalat" w:eastAsia="GHEA Grapalat" w:hAnsi="GHEA Grapalat" w:cs="GHEA Grapalat"/>
          <w:bCs/>
          <w:sz w:val="22"/>
          <w:szCs w:val="22"/>
        </w:rPr>
        <w:t xml:space="preserve">Միաժամանակ աշխատուժի առաջարկը (տնտեսապես ակտիվ բնակչություն) </w:t>
      </w:r>
      <w:r w:rsidRPr="00D330BE">
        <w:rPr>
          <w:rFonts w:ascii="GHEA Grapalat" w:eastAsia="GHEA Grapalat" w:hAnsi="GHEA Grapalat" w:cs="GHEA Grapalat"/>
          <w:bCs/>
          <w:sz w:val="22"/>
          <w:szCs w:val="22"/>
        </w:rPr>
        <w:t>աճել</w:t>
      </w:r>
      <w:r w:rsidRPr="00A4490B">
        <w:rPr>
          <w:rFonts w:ascii="GHEA Grapalat" w:eastAsia="GHEA Grapalat" w:hAnsi="GHEA Grapalat" w:cs="GHEA Grapalat"/>
          <w:bCs/>
          <w:sz w:val="22"/>
          <w:szCs w:val="22"/>
        </w:rPr>
        <w:t xml:space="preserve"> է </w:t>
      </w:r>
      <w:r>
        <w:rPr>
          <w:rFonts w:ascii="GHEA Grapalat" w:eastAsia="GHEA Grapalat" w:hAnsi="GHEA Grapalat" w:cs="GHEA Grapalat"/>
          <w:bCs/>
          <w:sz w:val="22"/>
          <w:szCs w:val="22"/>
        </w:rPr>
        <w:t>1</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1</w:t>
      </w:r>
      <w:r w:rsidRPr="00D330BE">
        <w:rPr>
          <w:rFonts w:ascii="GHEA Grapalat" w:eastAsia="GHEA Grapalat" w:hAnsi="GHEA Grapalat" w:cs="GHEA Grapalat"/>
          <w:bCs/>
          <w:sz w:val="22"/>
          <w:szCs w:val="22"/>
        </w:rPr>
        <w:t>%</w:t>
      </w:r>
      <w:r w:rsidRPr="00A4490B">
        <w:rPr>
          <w:rFonts w:ascii="GHEA Grapalat" w:eastAsia="GHEA Grapalat" w:hAnsi="GHEA Grapalat" w:cs="GHEA Grapalat"/>
          <w:bCs/>
          <w:sz w:val="22"/>
          <w:szCs w:val="22"/>
        </w:rPr>
        <w:t xml:space="preserve">-ով և կազմել` </w:t>
      </w:r>
      <w:r w:rsidRPr="00D330BE">
        <w:rPr>
          <w:rFonts w:ascii="GHEA Grapalat" w:eastAsia="GHEA Grapalat" w:hAnsi="GHEA Grapalat" w:cs="GHEA Grapalat"/>
          <w:bCs/>
          <w:sz w:val="22"/>
          <w:szCs w:val="22"/>
        </w:rPr>
        <w:t>1,3</w:t>
      </w:r>
      <w:r>
        <w:rPr>
          <w:rFonts w:ascii="GHEA Grapalat" w:eastAsia="GHEA Grapalat" w:hAnsi="GHEA Grapalat" w:cs="GHEA Grapalat"/>
          <w:bCs/>
          <w:sz w:val="22"/>
          <w:szCs w:val="22"/>
        </w:rPr>
        <w:t>56</w:t>
      </w:r>
      <w:r w:rsidRPr="00A4490B">
        <w:rPr>
          <w:rFonts w:ascii="GHEA Grapalat" w:eastAsia="GHEA Grapalat" w:hAnsi="GHEA Grapalat" w:cs="GHEA Grapalat"/>
          <w:bCs/>
          <w:sz w:val="22"/>
          <w:szCs w:val="22"/>
        </w:rPr>
        <w:t xml:space="preserve"> հազ</w:t>
      </w:r>
      <w:r w:rsidR="00C954CE" w:rsidRPr="008040E9">
        <w:rPr>
          <w:rFonts w:ascii="GHEA Grapalat" w:eastAsia="GHEA Grapalat" w:hAnsi="GHEA Grapalat" w:cs="GHEA Grapalat"/>
          <w:bCs/>
          <w:sz w:val="22"/>
          <w:szCs w:val="22"/>
        </w:rPr>
        <w:t>ար</w:t>
      </w:r>
      <w:r w:rsidRPr="00A4490B">
        <w:rPr>
          <w:rFonts w:ascii="GHEA Grapalat" w:eastAsia="GHEA Grapalat" w:hAnsi="GHEA Grapalat" w:cs="GHEA Grapalat"/>
          <w:bCs/>
          <w:sz w:val="22"/>
          <w:szCs w:val="22"/>
        </w:rPr>
        <w:t xml:space="preserve"> մարդ։</w:t>
      </w:r>
      <w:r w:rsidRPr="008272B8">
        <w:rPr>
          <w:rFonts w:ascii="GHEA Grapalat" w:eastAsia="GHEA Grapalat" w:hAnsi="GHEA Grapalat" w:cs="GHEA Grapalat"/>
          <w:bCs/>
          <w:sz w:val="22"/>
          <w:szCs w:val="22"/>
        </w:rPr>
        <w:t xml:space="preserve"> </w:t>
      </w:r>
      <w:r w:rsidRPr="00D42707">
        <w:rPr>
          <w:rFonts w:ascii="GHEA Grapalat" w:eastAsia="GHEA Grapalat" w:hAnsi="GHEA Grapalat" w:cs="GHEA Grapalat"/>
          <w:bCs/>
          <w:sz w:val="22"/>
          <w:szCs w:val="22"/>
        </w:rPr>
        <w:t>Գործազ</w:t>
      </w:r>
      <w:r w:rsidR="00C954CE" w:rsidRPr="008040E9">
        <w:rPr>
          <w:rFonts w:ascii="GHEA Grapalat" w:eastAsia="GHEA Grapalat" w:hAnsi="GHEA Grapalat" w:cs="GHEA Grapalat"/>
          <w:bCs/>
          <w:sz w:val="22"/>
          <w:szCs w:val="22"/>
        </w:rPr>
        <w:t>ու</w:t>
      </w:r>
      <w:r w:rsidRPr="00D42707">
        <w:rPr>
          <w:rFonts w:ascii="GHEA Grapalat" w:eastAsia="GHEA Grapalat" w:hAnsi="GHEA Grapalat" w:cs="GHEA Grapalat"/>
          <w:bCs/>
          <w:sz w:val="22"/>
          <w:szCs w:val="22"/>
        </w:rPr>
        <w:t>րկ</w:t>
      </w:r>
      <w:r>
        <w:rPr>
          <w:rFonts w:ascii="GHEA Grapalat" w:eastAsia="GHEA Grapalat" w:hAnsi="GHEA Grapalat" w:cs="GHEA Grapalat"/>
          <w:bCs/>
          <w:sz w:val="22"/>
          <w:szCs w:val="22"/>
        </w:rPr>
        <w:t xml:space="preserve">ների </w:t>
      </w:r>
      <w:r>
        <w:rPr>
          <w:rFonts w:ascii="GHEA Grapalat" w:eastAsia="GHEA Grapalat" w:hAnsi="GHEA Grapalat" w:cs="GHEA Grapalat"/>
          <w:bCs/>
          <w:sz w:val="22"/>
          <w:szCs w:val="22"/>
        </w:rPr>
        <w:lastRenderedPageBreak/>
        <w:t>թվի</w:t>
      </w:r>
      <w:r w:rsidRPr="00D42707">
        <w:rPr>
          <w:rFonts w:ascii="GHEA Grapalat" w:eastAsia="GHEA Grapalat" w:hAnsi="GHEA Grapalat" w:cs="GHEA Grapalat"/>
          <w:bCs/>
          <w:sz w:val="22"/>
          <w:szCs w:val="22"/>
        </w:rPr>
        <w:t xml:space="preserve"> աճն իր հերթին պայմանավորված է եղել ինչպես զբաղվածության նվազմամբ, այնպես էլ աշխատուժի առաջարկի ավելացմամբ: Գործազուրկների թվի աճին իր նպաստումն է ունեցել նաև ԼՂ-ից դեպի ՀՀ բռնի տեղահանված աշխատունակ բնակչության՝ ՀՀ աշխատաշուկայում դեռևս ոչ ամբողջական ներգրավվածությունը: Զբաղվածության նվազում</w:t>
      </w:r>
      <w:r w:rsidR="00C954CE" w:rsidRPr="008040E9">
        <w:rPr>
          <w:rFonts w:ascii="GHEA Grapalat" w:eastAsia="GHEA Grapalat" w:hAnsi="GHEA Grapalat" w:cs="GHEA Grapalat"/>
          <w:bCs/>
          <w:sz w:val="22"/>
          <w:szCs w:val="22"/>
        </w:rPr>
        <w:t>ը</w:t>
      </w:r>
      <w:r w:rsidRPr="00D42707">
        <w:rPr>
          <w:rFonts w:ascii="GHEA Grapalat" w:eastAsia="GHEA Grapalat" w:hAnsi="GHEA Grapalat" w:cs="GHEA Grapalat"/>
          <w:bCs/>
          <w:sz w:val="22"/>
          <w:szCs w:val="22"/>
        </w:rPr>
        <w:t xml:space="preserve"> պայմանավորված է եղել ոչ վարձու աշխատողների նվազմամբ:</w:t>
      </w:r>
      <w:r w:rsidR="00B85C24">
        <w:rPr>
          <w:rFonts w:ascii="GHEA Grapalat" w:eastAsia="GHEA Grapalat" w:hAnsi="GHEA Grapalat" w:cs="GHEA Grapalat"/>
          <w:bCs/>
          <w:sz w:val="22"/>
          <w:szCs w:val="22"/>
        </w:rPr>
        <w:t xml:space="preserve"> </w:t>
      </w:r>
    </w:p>
    <w:p w14:paraId="7167842E" w14:textId="77777777" w:rsidR="005C7A5B" w:rsidRPr="00040CA2" w:rsidRDefault="005C7A5B" w:rsidP="00CA6DDB">
      <w:pPr>
        <w:spacing w:line="276" w:lineRule="auto"/>
        <w:ind w:firstLine="567"/>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5099"/>
      </w:tblGrid>
      <w:tr w:rsidR="00575C6C" w:rsidRPr="00E87496" w14:paraId="59F7A1E0" w14:textId="77777777" w:rsidTr="00F2701C">
        <w:trPr>
          <w:trHeight w:val="255"/>
        </w:trPr>
        <w:tc>
          <w:tcPr>
            <w:tcW w:w="4857" w:type="dxa"/>
          </w:tcPr>
          <w:p w14:paraId="166634A7" w14:textId="3E719BA9" w:rsidR="00575C6C" w:rsidRPr="00BC2C75" w:rsidRDefault="00575C6C" w:rsidP="00D70CAF">
            <w:pPr>
              <w:tabs>
                <w:tab w:val="right" w:pos="0"/>
              </w:tabs>
              <w:spacing w:before="120" w:after="60"/>
              <w:rPr>
                <w:rFonts w:ascii="GHEA Grapalat" w:hAnsi="GHEA Grapalat" w:cs="Sylfaen"/>
                <w:b/>
                <w:sz w:val="22"/>
                <w:szCs w:val="22"/>
              </w:rPr>
            </w:pPr>
            <w:r w:rsidRPr="00BC2C75">
              <w:rPr>
                <w:rStyle w:val="Char0"/>
              </w:rPr>
              <w:t>Գծապատկեր</w:t>
            </w:r>
            <w:r w:rsidR="00C954CE">
              <w:rPr>
                <w:rStyle w:val="Char0"/>
              </w:rPr>
              <w:t xml:space="preserve"> </w:t>
            </w:r>
            <w:r w:rsidRPr="00BC2C75">
              <w:rPr>
                <w:rStyle w:val="Char0"/>
              </w:rPr>
              <w:t>12</w:t>
            </w:r>
            <w:r w:rsidRPr="001A19C4">
              <w:rPr>
                <w:rStyle w:val="Char0"/>
                <w:b w:val="0"/>
              </w:rPr>
              <w:t>.</w:t>
            </w:r>
            <w:r w:rsidRPr="00BC2C75">
              <w:rPr>
                <w:rFonts w:ascii="GHEA Grapalat" w:hAnsi="GHEA Grapalat" w:cs="Sylfaen"/>
                <w:b/>
                <w:sz w:val="22"/>
                <w:szCs w:val="22"/>
              </w:rPr>
              <w:t xml:space="preserve"> </w:t>
            </w:r>
            <w:r w:rsidRPr="00E0512F">
              <w:rPr>
                <w:rFonts w:ascii="GHEA Grapalat" w:hAnsi="GHEA Grapalat" w:cs="Sylfaen"/>
                <w:b/>
                <w:sz w:val="18"/>
                <w:szCs w:val="18"/>
              </w:rPr>
              <w:t>Գործազրկության մակարդակ, գործազուրկներ և զբաղվածներ</w:t>
            </w:r>
          </w:p>
          <w:p w14:paraId="6C07F4F1" w14:textId="77777777" w:rsidR="00575C6C" w:rsidRPr="00E87496" w:rsidRDefault="00575C6C" w:rsidP="007410FC">
            <w:pPr>
              <w:tabs>
                <w:tab w:val="right" w:pos="0"/>
              </w:tabs>
              <w:contextualSpacing/>
              <w:rPr>
                <w:rFonts w:ascii="GHEA Grapalat" w:hAnsi="GHEA Grapalat" w:cs="Sylfaen"/>
                <w:i/>
                <w:sz w:val="16"/>
                <w:szCs w:val="16"/>
                <w:highlight w:val="yellow"/>
              </w:rPr>
            </w:pPr>
            <w:r w:rsidRPr="00814F3C">
              <w:rPr>
                <w:rFonts w:ascii="GHEA Grapalat" w:hAnsi="GHEA Grapalat"/>
                <w:lang w:val="en-US"/>
              </w:rPr>
              <w:drawing>
                <wp:inline distT="0" distB="0" distL="0" distR="0" wp14:anchorId="52F2D216" wp14:editId="22DECAB6">
                  <wp:extent cx="2914650" cy="1858061"/>
                  <wp:effectExtent l="0" t="0" r="0" b="889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9E12DD" w14:textId="179406CF" w:rsidR="00575C6C" w:rsidRPr="001C195F" w:rsidRDefault="00575C6C" w:rsidP="00F2701C">
            <w:pPr>
              <w:tabs>
                <w:tab w:val="right" w:pos="0"/>
              </w:tabs>
              <w:contextualSpacing/>
              <w:rPr>
                <w:rStyle w:val="Char0"/>
                <w:highlight w:val="yellow"/>
              </w:rPr>
            </w:pPr>
            <w:r w:rsidRPr="002D584B">
              <w:rPr>
                <w:rFonts w:ascii="GHEA Grapalat" w:hAnsi="GHEA Grapalat"/>
                <w:i/>
                <w:sz w:val="16"/>
                <w:szCs w:val="16"/>
              </w:rPr>
              <w:t>Աղբյուր</w:t>
            </w:r>
            <w:r w:rsidRPr="00914576">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5099" w:type="dxa"/>
          </w:tcPr>
          <w:p w14:paraId="28466461" w14:textId="78CEA09F" w:rsidR="00575C6C" w:rsidRPr="00E0512F" w:rsidRDefault="00575C6C" w:rsidP="00D70CAF">
            <w:pPr>
              <w:tabs>
                <w:tab w:val="right" w:pos="0"/>
              </w:tabs>
              <w:spacing w:before="120" w:after="60"/>
              <w:ind w:right="-74"/>
              <w:rPr>
                <w:rFonts w:ascii="GHEA Grapalat" w:hAnsi="GHEA Grapalat" w:cs="Sylfaen"/>
                <w:b/>
                <w:sz w:val="18"/>
                <w:szCs w:val="18"/>
              </w:rPr>
            </w:pPr>
            <w:r w:rsidRPr="00BC2C75">
              <w:rPr>
                <w:rStyle w:val="Char0"/>
              </w:rPr>
              <w:t>Գծապատկեր 13.</w:t>
            </w:r>
            <w:r w:rsidRPr="00BC2C75">
              <w:rPr>
                <w:rFonts w:ascii="GHEA Grapalat" w:hAnsi="GHEA Grapalat" w:cs="Sylfaen"/>
                <w:b/>
                <w:sz w:val="22"/>
                <w:szCs w:val="22"/>
              </w:rPr>
              <w:t xml:space="preserve"> </w:t>
            </w:r>
            <w:r w:rsidRPr="00E0512F">
              <w:rPr>
                <w:rFonts w:ascii="GHEA Grapalat" w:hAnsi="GHEA Grapalat" w:cs="Sylfaen"/>
                <w:b/>
                <w:sz w:val="18"/>
                <w:szCs w:val="18"/>
              </w:rPr>
              <w:t>Միջին ամսական անվանական աշխատավարձի աճը նախորդ տարվա նկատմամբ, %</w:t>
            </w:r>
          </w:p>
          <w:p w14:paraId="2F85AAA4"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814F3C">
              <w:rPr>
                <w:rFonts w:ascii="GHEA Grapalat" w:hAnsi="GHEA Grapalat"/>
                <w:sz w:val="16"/>
                <w:szCs w:val="16"/>
                <w:lang w:val="en-US"/>
              </w:rPr>
              <w:drawing>
                <wp:inline distT="0" distB="0" distL="0" distR="0" wp14:anchorId="6BD1122D" wp14:editId="40C0145F">
                  <wp:extent cx="3067050" cy="1815693"/>
                  <wp:effectExtent l="0" t="0" r="0" b="1333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5F02CE8" w14:textId="77777777" w:rsidR="00575C6C" w:rsidRPr="00E87496" w:rsidRDefault="00575C6C" w:rsidP="00D70CAF">
            <w:pPr>
              <w:tabs>
                <w:tab w:val="right" w:pos="0"/>
              </w:tabs>
              <w:spacing w:before="120" w:after="60"/>
              <w:contextualSpacing/>
              <w:rPr>
                <w:rStyle w:val="Char0"/>
                <w:rFonts w:eastAsia="Times New Roman" w:cs="Times New Roman"/>
                <w:szCs w:val="16"/>
                <w:highlight w:val="yellow"/>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bl>
    <w:p w14:paraId="75665387" w14:textId="77777777" w:rsidR="00F2701C" w:rsidRDefault="00F2701C" w:rsidP="007410FC">
      <w:pPr>
        <w:spacing w:line="276" w:lineRule="auto"/>
        <w:ind w:firstLine="567"/>
        <w:jc w:val="both"/>
        <w:rPr>
          <w:rFonts w:ascii="GHEA Grapalat" w:eastAsia="GHEA Grapalat" w:hAnsi="GHEA Grapalat" w:cs="GHEA Grapalat"/>
          <w:bCs/>
          <w:sz w:val="22"/>
          <w:szCs w:val="22"/>
          <w:lang w:val="en-US"/>
        </w:rPr>
      </w:pPr>
    </w:p>
    <w:p w14:paraId="0C09EB97" w14:textId="7847CBE7" w:rsidR="00575C6C" w:rsidRDefault="00F2701C" w:rsidP="007410FC">
      <w:pPr>
        <w:spacing w:line="276" w:lineRule="auto"/>
        <w:ind w:firstLine="567"/>
        <w:jc w:val="both"/>
        <w:rPr>
          <w:rFonts w:ascii="GHEA Grapalat" w:eastAsia="GHEA Grapalat" w:hAnsi="GHEA Grapalat" w:cs="GHEA Grapalat"/>
          <w:bCs/>
          <w:sz w:val="22"/>
          <w:szCs w:val="22"/>
          <w:highlight w:val="yellow"/>
        </w:rPr>
      </w:pPr>
      <w:r>
        <w:rPr>
          <w:rFonts w:ascii="GHEA Grapalat" w:eastAsia="GHEA Grapalat" w:hAnsi="GHEA Grapalat" w:cs="GHEA Grapalat"/>
          <w:bCs/>
          <w:sz w:val="22"/>
          <w:szCs w:val="22"/>
          <w:lang w:val="en-US"/>
        </w:rPr>
        <w:t>Վ</w:t>
      </w:r>
      <w:r w:rsidR="00575C6C" w:rsidRPr="00D978C6">
        <w:rPr>
          <w:rFonts w:ascii="GHEA Grapalat" w:eastAsia="GHEA Grapalat" w:hAnsi="GHEA Grapalat" w:cs="GHEA Grapalat"/>
          <w:bCs/>
          <w:sz w:val="22"/>
          <w:szCs w:val="22"/>
        </w:rPr>
        <w:t>արձու աշխատողների թիվը</w:t>
      </w:r>
      <w:r w:rsidR="00CA6DDB">
        <w:rPr>
          <w:rFonts w:ascii="GHEA Grapalat" w:eastAsia="GHEA Grapalat" w:hAnsi="GHEA Grapalat" w:cs="GHEA Grapalat"/>
          <w:bCs/>
          <w:sz w:val="22"/>
          <w:szCs w:val="22"/>
        </w:rPr>
        <w:t xml:space="preserve"> 2024</w:t>
      </w:r>
      <w:r w:rsidR="00575C6C" w:rsidRPr="00D978C6">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00575C6C" w:rsidRPr="00D978C6">
        <w:rPr>
          <w:rFonts w:ascii="GHEA Grapalat" w:eastAsia="GHEA Grapalat" w:hAnsi="GHEA Grapalat" w:cs="GHEA Grapalat"/>
          <w:bCs/>
          <w:sz w:val="22"/>
          <w:szCs w:val="22"/>
        </w:rPr>
        <w:t xml:space="preserve"> աճել է 5.2%-ով</w:t>
      </w:r>
      <w:r w:rsidR="00575C6C" w:rsidRPr="00E532E2">
        <w:rPr>
          <w:rFonts w:ascii="GHEA Grapalat" w:eastAsia="GHEA Grapalat" w:hAnsi="GHEA Grapalat" w:cs="GHEA Grapalat"/>
          <w:bCs/>
          <w:sz w:val="22"/>
          <w:szCs w:val="22"/>
        </w:rPr>
        <w:t xml:space="preserve">` </w:t>
      </w:r>
      <w:r w:rsidR="00575C6C" w:rsidRPr="00921AF2">
        <w:rPr>
          <w:rFonts w:ascii="GHEA Grapalat" w:eastAsia="GHEA Grapalat" w:hAnsi="GHEA Grapalat" w:cs="GHEA Grapalat"/>
          <w:sz w:val="22"/>
          <w:szCs w:val="22"/>
        </w:rPr>
        <w:t xml:space="preserve">կազմելով </w:t>
      </w:r>
      <w:r w:rsidR="00575C6C" w:rsidRPr="00E532E2">
        <w:rPr>
          <w:rFonts w:ascii="GHEA Grapalat" w:eastAsia="GHEA Grapalat" w:hAnsi="GHEA Grapalat" w:cs="GHEA Grapalat"/>
          <w:sz w:val="22"/>
          <w:szCs w:val="22"/>
        </w:rPr>
        <w:t xml:space="preserve">760,555 </w:t>
      </w:r>
      <w:r w:rsidR="00575C6C" w:rsidRPr="00921AF2">
        <w:rPr>
          <w:rFonts w:ascii="GHEA Grapalat" w:eastAsia="GHEA Grapalat" w:hAnsi="GHEA Grapalat" w:cs="GHEA Grapalat"/>
          <w:sz w:val="22"/>
          <w:szCs w:val="22"/>
        </w:rPr>
        <w:t>մարդ</w:t>
      </w:r>
      <w:r w:rsidR="00575C6C">
        <w:rPr>
          <w:rFonts w:ascii="GHEA Grapalat" w:eastAsia="GHEA Grapalat" w:hAnsi="GHEA Grapalat" w:cs="GHEA Grapalat"/>
          <w:sz w:val="22"/>
          <w:szCs w:val="22"/>
        </w:rPr>
        <w:t>: Վարձու աշխատողների թվի աճը</w:t>
      </w:r>
      <w:r w:rsidR="00575C6C" w:rsidRPr="00D978C6">
        <w:rPr>
          <w:rFonts w:ascii="GHEA Grapalat" w:eastAsia="GHEA Grapalat" w:hAnsi="GHEA Grapalat" w:cs="GHEA Grapalat"/>
          <w:bCs/>
          <w:sz w:val="22"/>
          <w:szCs w:val="22"/>
        </w:rPr>
        <w:t xml:space="preserve"> հիմնականում պայմանավորված է եղել առևտրի, շինարարության</w:t>
      </w:r>
      <w:r w:rsidR="00575C6C">
        <w:rPr>
          <w:rFonts w:ascii="GHEA Grapalat" w:eastAsia="GHEA Grapalat" w:hAnsi="GHEA Grapalat" w:cs="GHEA Grapalat"/>
          <w:bCs/>
          <w:sz w:val="22"/>
          <w:szCs w:val="22"/>
        </w:rPr>
        <w:t xml:space="preserve"> և</w:t>
      </w:r>
      <w:r w:rsidR="00575C6C" w:rsidRPr="00D978C6">
        <w:rPr>
          <w:rFonts w:ascii="GHEA Grapalat" w:eastAsia="GHEA Grapalat" w:hAnsi="GHEA Grapalat" w:cs="GHEA Grapalat"/>
          <w:bCs/>
          <w:sz w:val="22"/>
          <w:szCs w:val="22"/>
        </w:rPr>
        <w:t xml:space="preserve"> </w:t>
      </w:r>
      <w:r w:rsidR="00575C6C">
        <w:rPr>
          <w:rFonts w:ascii="GHEA Grapalat" w:eastAsia="GHEA Grapalat" w:hAnsi="GHEA Grapalat" w:cs="GHEA Grapalat"/>
          <w:bCs/>
          <w:sz w:val="22"/>
          <w:szCs w:val="22"/>
        </w:rPr>
        <w:t xml:space="preserve">կրթության </w:t>
      </w:r>
      <w:r w:rsidR="00575C6C" w:rsidRPr="008272B8">
        <w:rPr>
          <w:rFonts w:ascii="GHEA Grapalat" w:eastAsia="GHEA Grapalat" w:hAnsi="GHEA Grapalat" w:cs="GHEA Grapalat"/>
          <w:bCs/>
          <w:sz w:val="22"/>
          <w:szCs w:val="22"/>
        </w:rPr>
        <w:t xml:space="preserve">ոլորտներում աշխատողների թվի աճով։ </w:t>
      </w:r>
      <w:r w:rsidR="00575C6C" w:rsidRPr="00381E75">
        <w:rPr>
          <w:rFonts w:ascii="GHEA Grapalat" w:eastAsia="GHEA Grapalat" w:hAnsi="GHEA Grapalat" w:cs="GHEA Grapalat"/>
          <w:bCs/>
          <w:sz w:val="22"/>
          <w:szCs w:val="22"/>
        </w:rPr>
        <w:t>Վարձու աշխատողների թվի աճին հիմնականում նպաստել են տնտեսության դրական զարգացումները, ԼՂ բնակչության որոշ մասի՝ ՀՀ աշխատանքի շուկայում ընդգրկումը, ինչպես նաև սեզոնային աշխատողների (հիմնականում շինարարության ոլորտում)՝ արտերկրում գործունեութ</w:t>
      </w:r>
      <w:r w:rsidRPr="008040E9">
        <w:rPr>
          <w:rFonts w:ascii="GHEA Grapalat" w:eastAsia="GHEA Grapalat" w:hAnsi="GHEA Grapalat" w:cs="GHEA Grapalat"/>
          <w:bCs/>
          <w:sz w:val="22"/>
          <w:szCs w:val="22"/>
        </w:rPr>
        <w:t>յ</w:t>
      </w:r>
      <w:r w:rsidR="00575C6C" w:rsidRPr="00381E75">
        <w:rPr>
          <w:rFonts w:ascii="GHEA Grapalat" w:eastAsia="GHEA Grapalat" w:hAnsi="GHEA Grapalat" w:cs="GHEA Grapalat"/>
          <w:bCs/>
          <w:sz w:val="22"/>
          <w:szCs w:val="22"/>
        </w:rPr>
        <w:t>ան իրականացման փոխարեն ՀՀ-ում գործունեություն իրականացնելու նախընտրությունը:</w:t>
      </w:r>
      <w:r w:rsidR="00575C6C" w:rsidRPr="00E87496">
        <w:rPr>
          <w:rFonts w:ascii="GHEA Grapalat" w:eastAsia="GHEA Grapalat" w:hAnsi="GHEA Grapalat" w:cs="GHEA Grapalat"/>
          <w:bCs/>
          <w:sz w:val="22"/>
          <w:szCs w:val="22"/>
          <w:highlight w:val="yellow"/>
        </w:rPr>
        <w:t xml:space="preserve"> </w:t>
      </w:r>
    </w:p>
    <w:p w14:paraId="56C7B89D" w14:textId="77777777" w:rsidR="00DB4B19" w:rsidRPr="00E87496" w:rsidRDefault="00DB4B19" w:rsidP="007410FC">
      <w:pPr>
        <w:spacing w:line="276" w:lineRule="auto"/>
        <w:ind w:firstLine="567"/>
        <w:jc w:val="both"/>
        <w:rPr>
          <w:rFonts w:ascii="GHEA Grapalat" w:eastAsia="GHEA Grapalat" w:hAnsi="GHEA Grapalat" w:cs="GHEA Grapalat"/>
          <w:bCs/>
          <w:sz w:val="22"/>
          <w:szCs w:val="22"/>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4"/>
        <w:gridCol w:w="5034"/>
      </w:tblGrid>
      <w:tr w:rsidR="00575C6C" w:rsidRPr="00E87496" w14:paraId="44CD8FE8" w14:textId="77777777" w:rsidTr="00D70CAF">
        <w:tc>
          <w:tcPr>
            <w:tcW w:w="5377" w:type="dxa"/>
          </w:tcPr>
          <w:p w14:paraId="739FB1D4" w14:textId="68A3BF5E" w:rsidR="00575C6C" w:rsidRPr="00BC2C75" w:rsidRDefault="00575C6C" w:rsidP="00D70CAF">
            <w:pPr>
              <w:tabs>
                <w:tab w:val="right" w:pos="0"/>
              </w:tabs>
              <w:spacing w:before="120" w:after="60" w:line="276" w:lineRule="auto"/>
              <w:rPr>
                <w:rFonts w:ascii="GHEA Grapalat" w:hAnsi="GHEA Grapalat" w:cs="Sylfaen"/>
                <w:b/>
                <w:sz w:val="22"/>
                <w:szCs w:val="22"/>
              </w:rPr>
            </w:pPr>
            <w:r w:rsidRPr="00BC2C75">
              <w:rPr>
                <w:rStyle w:val="Char0"/>
              </w:rPr>
              <w:t>Գծապատկեր</w:t>
            </w:r>
            <w:r w:rsidR="00DB4B19">
              <w:rPr>
                <w:rStyle w:val="Char0"/>
              </w:rPr>
              <w:t xml:space="preserve"> </w:t>
            </w:r>
            <w:r w:rsidRPr="00BC2C75">
              <w:rPr>
                <w:rStyle w:val="Char0"/>
              </w:rPr>
              <w:t>14.</w:t>
            </w:r>
            <w:r w:rsidRPr="00BC2C75">
              <w:rPr>
                <w:rFonts w:ascii="GHEA Grapalat" w:hAnsi="GHEA Grapalat" w:cs="Sylfaen"/>
                <w:b/>
                <w:sz w:val="22"/>
                <w:szCs w:val="22"/>
              </w:rPr>
              <w:t xml:space="preserve"> </w:t>
            </w:r>
            <w:r w:rsidRPr="00E0512F">
              <w:rPr>
                <w:rFonts w:ascii="GHEA Grapalat" w:hAnsi="GHEA Grapalat" w:cs="Sylfaen"/>
                <w:b/>
                <w:sz w:val="18"/>
                <w:szCs w:val="18"/>
              </w:rPr>
              <w:t>Գործազրկության մակարդակ, գործազուրկներ և զբաղվածներ</w:t>
            </w:r>
          </w:p>
          <w:p w14:paraId="50761823"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5D88D5F2"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65849FF2"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2BF8EA7F"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0748CCFA"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0EEC4733"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197421BB"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173ED13D"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39D51BA9"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3F92EDC6" w14:textId="77777777" w:rsidR="00575C6C" w:rsidRPr="00F843E5" w:rsidRDefault="00575C6C" w:rsidP="00D70CAF">
            <w:pPr>
              <w:tabs>
                <w:tab w:val="right" w:pos="0"/>
              </w:tabs>
              <w:spacing w:before="120" w:after="60" w:line="276" w:lineRule="auto"/>
              <w:contextualSpacing/>
              <w:rPr>
                <w:rFonts w:ascii="GHEA Grapalat" w:hAnsi="GHEA Grapalat" w:cs="Sylfaen"/>
                <w:sz w:val="16"/>
                <w:szCs w:val="16"/>
                <w:highlight w:val="yellow"/>
              </w:rPr>
            </w:pPr>
            <w:r w:rsidRPr="00814F3C">
              <w:rPr>
                <w:rFonts w:ascii="GHEA Grapalat" w:hAnsi="GHEA Grapalat"/>
                <w:lang w:val="en-US"/>
              </w:rPr>
              <w:drawing>
                <wp:inline distT="0" distB="0" distL="0" distR="0" wp14:anchorId="4A333199" wp14:editId="2902A4D5">
                  <wp:extent cx="3075710" cy="1840675"/>
                  <wp:effectExtent l="0" t="0" r="10795" b="762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B8946F" w14:textId="77777777" w:rsidR="00575C6C" w:rsidRPr="002D584B" w:rsidRDefault="00575C6C" w:rsidP="00D70CAF">
            <w:pPr>
              <w:spacing w:line="276" w:lineRule="auto"/>
              <w:jc w:val="both"/>
              <w:rPr>
                <w:rFonts w:ascii="GHEA Grapalat" w:eastAsia="GHEA Grapalat" w:hAnsi="GHEA Grapalat" w:cs="GHEA Grapalat"/>
                <w:sz w:val="16"/>
                <w:szCs w:val="16"/>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5378" w:type="dxa"/>
          </w:tcPr>
          <w:p w14:paraId="7E230F15" w14:textId="6508C795" w:rsidR="00575C6C" w:rsidRPr="00E0512F" w:rsidRDefault="00575C6C" w:rsidP="00D70CAF">
            <w:pPr>
              <w:tabs>
                <w:tab w:val="right" w:pos="0"/>
              </w:tabs>
              <w:spacing w:before="120" w:after="60" w:line="276" w:lineRule="auto"/>
              <w:rPr>
                <w:rFonts w:ascii="GHEA Grapalat" w:hAnsi="GHEA Grapalat" w:cs="Sylfaen"/>
                <w:b/>
                <w:sz w:val="18"/>
                <w:szCs w:val="18"/>
              </w:rPr>
            </w:pPr>
            <w:r w:rsidRPr="00BC2C75">
              <w:rPr>
                <w:rStyle w:val="Char0"/>
              </w:rPr>
              <w:t>Գծապատկեր 15.</w:t>
            </w:r>
            <w:r w:rsidRPr="00BC2C75">
              <w:rPr>
                <w:rFonts w:ascii="GHEA Grapalat" w:hAnsi="GHEA Grapalat" w:cs="Sylfaen"/>
                <w:b/>
                <w:sz w:val="22"/>
                <w:szCs w:val="22"/>
              </w:rPr>
              <w:t xml:space="preserve"> </w:t>
            </w:r>
            <w:r w:rsidRPr="00E0512F">
              <w:rPr>
                <w:rFonts w:ascii="GHEA Grapalat" w:hAnsi="GHEA Grapalat" w:cs="Sylfaen"/>
                <w:b/>
                <w:sz w:val="18"/>
                <w:szCs w:val="18"/>
              </w:rPr>
              <w:t>Միջին ամսական անվանական աշխատավարձի աճը նախորդ տարվա նույն ժամանակահատվածի նկատմամբ, %</w:t>
            </w:r>
          </w:p>
          <w:p w14:paraId="220691A5" w14:textId="77777777" w:rsidR="00575C6C" w:rsidRPr="00E87496" w:rsidRDefault="00575C6C" w:rsidP="00D70CAF">
            <w:pPr>
              <w:tabs>
                <w:tab w:val="right" w:pos="0"/>
              </w:tabs>
              <w:spacing w:before="120" w:after="60" w:line="276" w:lineRule="auto"/>
              <w:contextualSpacing/>
              <w:rPr>
                <w:rFonts w:ascii="GHEA Grapalat" w:hAnsi="GHEA Grapalat" w:cs="Sylfaen"/>
                <w:i/>
                <w:sz w:val="16"/>
                <w:szCs w:val="16"/>
                <w:highlight w:val="yellow"/>
              </w:rPr>
            </w:pPr>
            <w:r w:rsidRPr="00814F3C">
              <w:rPr>
                <w:rFonts w:ascii="GHEA Grapalat" w:hAnsi="GHEA Grapalat"/>
                <w:sz w:val="16"/>
                <w:szCs w:val="16"/>
                <w:lang w:val="en-US"/>
              </w:rPr>
              <w:drawing>
                <wp:inline distT="0" distB="0" distL="0" distR="0" wp14:anchorId="657A4895" wp14:editId="76F05CD6">
                  <wp:extent cx="2952750" cy="1840230"/>
                  <wp:effectExtent l="0" t="0" r="0" b="762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0E1877" w14:textId="77777777" w:rsidR="00575C6C" w:rsidRPr="00E87496" w:rsidRDefault="00575C6C" w:rsidP="00D70CAF">
            <w:pPr>
              <w:spacing w:line="276" w:lineRule="auto"/>
              <w:jc w:val="both"/>
              <w:rPr>
                <w:rFonts w:ascii="GHEA Grapalat" w:eastAsia="GHEA Grapalat" w:hAnsi="GHEA Grapalat" w:cs="GHEA Grapalat"/>
                <w:sz w:val="22"/>
                <w:szCs w:val="22"/>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r w:rsidR="00575C6C" w:rsidRPr="00E87496" w14:paraId="78030D75" w14:textId="77777777" w:rsidTr="00D70CAF">
        <w:tc>
          <w:tcPr>
            <w:tcW w:w="5377" w:type="dxa"/>
          </w:tcPr>
          <w:p w14:paraId="1D1688BB" w14:textId="77777777" w:rsidR="00575C6C" w:rsidRPr="00E87496" w:rsidRDefault="00575C6C" w:rsidP="00D70CAF">
            <w:pPr>
              <w:tabs>
                <w:tab w:val="right" w:pos="0"/>
              </w:tabs>
              <w:spacing w:before="120" w:after="60" w:line="276" w:lineRule="auto"/>
              <w:contextualSpacing/>
              <w:rPr>
                <w:rStyle w:val="Char0"/>
                <w:highlight w:val="yellow"/>
              </w:rPr>
            </w:pPr>
          </w:p>
        </w:tc>
        <w:tc>
          <w:tcPr>
            <w:tcW w:w="5378" w:type="dxa"/>
          </w:tcPr>
          <w:p w14:paraId="0488326C" w14:textId="77777777" w:rsidR="00575C6C" w:rsidRPr="00E87496" w:rsidRDefault="00575C6C" w:rsidP="00D70CAF">
            <w:pPr>
              <w:tabs>
                <w:tab w:val="right" w:pos="0"/>
              </w:tabs>
              <w:spacing w:before="120" w:after="60" w:line="276" w:lineRule="auto"/>
              <w:contextualSpacing/>
              <w:rPr>
                <w:rStyle w:val="Char0"/>
                <w:highlight w:val="yellow"/>
              </w:rPr>
            </w:pPr>
          </w:p>
        </w:tc>
      </w:tr>
    </w:tbl>
    <w:p w14:paraId="6191812D" w14:textId="77777777" w:rsidR="00F843E5" w:rsidRDefault="00F843E5" w:rsidP="00575C6C">
      <w:pPr>
        <w:spacing w:line="276" w:lineRule="auto"/>
        <w:ind w:firstLine="567"/>
        <w:jc w:val="both"/>
        <w:rPr>
          <w:rFonts w:ascii="GHEA Grapalat" w:eastAsia="GHEA Grapalat" w:hAnsi="GHEA Grapalat" w:cs="GHEA Grapalat"/>
          <w:bCs/>
          <w:sz w:val="22"/>
          <w:szCs w:val="22"/>
        </w:rPr>
      </w:pPr>
    </w:p>
    <w:p w14:paraId="2828327F" w14:textId="4FF0BD0D" w:rsidR="00575C6C" w:rsidRPr="00E473E5" w:rsidRDefault="00CA6DDB" w:rsidP="00575C6C">
      <w:pPr>
        <w:spacing w:line="276" w:lineRule="auto"/>
        <w:ind w:firstLine="567"/>
        <w:jc w:val="both"/>
        <w:rPr>
          <w:rFonts w:ascii="GHEA Grapalat" w:eastAsia="GHEA Grapalat" w:hAnsi="GHEA Grapalat" w:cs="GHEA Grapalat"/>
          <w:bCs/>
          <w:sz w:val="22"/>
          <w:szCs w:val="22"/>
        </w:rPr>
      </w:pPr>
      <w:r w:rsidRPr="00E473E5">
        <w:rPr>
          <w:rFonts w:ascii="GHEA Grapalat" w:eastAsia="GHEA Grapalat" w:hAnsi="GHEA Grapalat" w:cs="GHEA Grapalat"/>
          <w:bCs/>
          <w:sz w:val="22"/>
          <w:szCs w:val="22"/>
        </w:rPr>
        <w:lastRenderedPageBreak/>
        <w:t>2024</w:t>
      </w:r>
      <w:r w:rsidR="00575C6C" w:rsidRPr="00E473E5">
        <w:rPr>
          <w:rFonts w:ascii="GHEA Grapalat" w:eastAsia="GHEA Grapalat" w:hAnsi="GHEA Grapalat" w:cs="GHEA Grapalat"/>
          <w:bCs/>
          <w:sz w:val="22"/>
          <w:szCs w:val="22"/>
        </w:rPr>
        <w:t>թ</w:t>
      </w:r>
      <w:r w:rsidRPr="00E473E5">
        <w:rPr>
          <w:rFonts w:ascii="GHEA Grapalat" w:eastAsia="GHEA Grapalat" w:hAnsi="GHEA Grapalat" w:cs="GHEA Grapalat"/>
          <w:bCs/>
          <w:sz w:val="22"/>
          <w:szCs w:val="22"/>
        </w:rPr>
        <w:t>.</w:t>
      </w:r>
      <w:r w:rsidR="00575C6C" w:rsidRPr="00E473E5">
        <w:rPr>
          <w:rFonts w:ascii="GHEA Grapalat" w:eastAsia="GHEA Grapalat" w:hAnsi="GHEA Grapalat" w:cs="GHEA Grapalat"/>
          <w:bCs/>
          <w:sz w:val="22"/>
          <w:szCs w:val="22"/>
        </w:rPr>
        <w:t xml:space="preserve"> միջին ամսական անվանական աշխատավարձը նախորդ տարվա նկատմամբ աճել է 6.4%-ով` կազմելով 287,172 դրամ:</w:t>
      </w:r>
      <w:r w:rsidR="00575C6C" w:rsidRPr="006A352A">
        <w:rPr>
          <w:rFonts w:ascii="GHEA Grapalat" w:eastAsia="GHEA Grapalat" w:hAnsi="GHEA Grapalat" w:cs="GHEA Grapalat"/>
          <w:bCs/>
          <w:sz w:val="22"/>
          <w:szCs w:val="22"/>
        </w:rPr>
        <w:t xml:space="preserve"> </w:t>
      </w:r>
      <w:r w:rsidR="00575C6C" w:rsidRPr="000519F0">
        <w:rPr>
          <w:rFonts w:ascii="GHEA Grapalat" w:eastAsia="GHEA Grapalat" w:hAnsi="GHEA Grapalat" w:cs="GHEA Grapalat"/>
          <w:bCs/>
          <w:sz w:val="22"/>
          <w:szCs w:val="22"/>
        </w:rPr>
        <w:t xml:space="preserve">Աշխատավարձի աճին հիմնականում նպաստել են </w:t>
      </w:r>
      <w:r w:rsidR="00575C6C" w:rsidRPr="00381E37">
        <w:rPr>
          <w:rFonts w:ascii="GHEA Grapalat" w:eastAsia="GHEA Grapalat" w:hAnsi="GHEA Grapalat" w:cs="GHEA Grapalat"/>
          <w:bCs/>
          <w:sz w:val="22"/>
          <w:szCs w:val="22"/>
        </w:rPr>
        <w:t>մեծածախ և մանրածախ առևտրի, կրթության, մշակող արդյունաբերության, շինարարության, ինչպես նաև ֆինանսական և ապահովագրական</w:t>
      </w:r>
      <w:r w:rsidR="00575C6C">
        <w:rPr>
          <w:rFonts w:ascii="GHEA Grapalat" w:eastAsia="GHEA Grapalat" w:hAnsi="GHEA Grapalat" w:cs="GHEA Grapalat"/>
          <w:bCs/>
          <w:sz w:val="22"/>
          <w:szCs w:val="22"/>
        </w:rPr>
        <w:t xml:space="preserve"> գործունեության</w:t>
      </w:r>
      <w:r w:rsidR="00575C6C" w:rsidRPr="00381E37">
        <w:rPr>
          <w:rFonts w:ascii="GHEA Grapalat" w:eastAsia="GHEA Grapalat" w:hAnsi="GHEA Grapalat" w:cs="GHEA Grapalat"/>
          <w:bCs/>
          <w:sz w:val="22"/>
          <w:szCs w:val="22"/>
        </w:rPr>
        <w:t xml:space="preserve"> ոլորտների աշխատավարձերի աճը։ </w:t>
      </w:r>
      <w:r w:rsidR="00575C6C" w:rsidRPr="00563C69">
        <w:rPr>
          <w:rFonts w:ascii="GHEA Grapalat" w:eastAsia="GHEA Grapalat" w:hAnsi="GHEA Grapalat" w:cs="GHEA Grapalat"/>
          <w:bCs/>
          <w:sz w:val="22"/>
          <w:szCs w:val="22"/>
        </w:rPr>
        <w:t>Միջին ամսական անվանական աշխատավարձը պետական հատվածում աճել է 7.9%-ով` կազմելով 224,804 դրամ, իսկ ոչ պետականում` 5.7%-ով և կազմել 311,848 դրամ:</w:t>
      </w:r>
      <w:r w:rsidR="00575C6C" w:rsidRPr="00A93567">
        <w:rPr>
          <w:rFonts w:ascii="GHEA Grapalat" w:eastAsia="GHEA Grapalat" w:hAnsi="GHEA Grapalat" w:cs="GHEA Grapalat"/>
          <w:bCs/>
          <w:sz w:val="22"/>
          <w:szCs w:val="22"/>
        </w:rPr>
        <w:t xml:space="preserve"> Իրական աշխատավարձը 0.3% գնաճի պայմաններում աճել է 6.</w:t>
      </w:r>
      <w:r w:rsidR="00575C6C">
        <w:rPr>
          <w:rFonts w:ascii="GHEA Grapalat" w:eastAsia="GHEA Grapalat" w:hAnsi="GHEA Grapalat" w:cs="GHEA Grapalat"/>
          <w:bCs/>
          <w:sz w:val="22"/>
          <w:szCs w:val="22"/>
        </w:rPr>
        <w:t>1</w:t>
      </w:r>
      <w:r w:rsidR="00575C6C" w:rsidRPr="00A93567">
        <w:rPr>
          <w:rFonts w:ascii="GHEA Grapalat" w:eastAsia="GHEA Grapalat" w:hAnsi="GHEA Grapalat" w:cs="GHEA Grapalat"/>
          <w:bCs/>
          <w:sz w:val="22"/>
          <w:szCs w:val="22"/>
        </w:rPr>
        <w:t>%-ով:</w:t>
      </w:r>
    </w:p>
    <w:p w14:paraId="120AE16F" w14:textId="77777777" w:rsidR="00F86947" w:rsidRPr="00E473E5" w:rsidRDefault="00F86947" w:rsidP="00E473E5">
      <w:pPr>
        <w:spacing w:line="276" w:lineRule="auto"/>
        <w:ind w:firstLine="567"/>
        <w:jc w:val="both"/>
        <w:rPr>
          <w:rFonts w:ascii="GHEA Grapalat" w:eastAsia="GHEA Grapalat" w:hAnsi="GHEA Grapalat" w:cs="GHEA Grapalat"/>
          <w:bCs/>
          <w:sz w:val="22"/>
          <w:szCs w:val="22"/>
        </w:rPr>
      </w:pPr>
    </w:p>
    <w:p w14:paraId="46771FB0" w14:textId="77777777" w:rsidR="00F86947" w:rsidRPr="008A2436" w:rsidRDefault="00F86947" w:rsidP="00220D60">
      <w:pPr>
        <w:pStyle w:val="Heading4"/>
        <w:numPr>
          <w:ilvl w:val="3"/>
          <w:numId w:val="10"/>
        </w:numPr>
        <w:tabs>
          <w:tab w:val="left" w:pos="709"/>
        </w:tabs>
        <w:spacing w:after="240"/>
        <w:ind w:left="993" w:hanging="993"/>
        <w:rPr>
          <w:i w:val="0"/>
          <w:sz w:val="24"/>
          <w:szCs w:val="24"/>
        </w:rPr>
      </w:pPr>
      <w:r w:rsidRPr="008A2436">
        <w:rPr>
          <w:i w:val="0"/>
          <w:sz w:val="24"/>
          <w:szCs w:val="24"/>
        </w:rPr>
        <w:t>Գնաճ և դրամավարկային քաղաքականություն</w:t>
      </w:r>
    </w:p>
    <w:p w14:paraId="4CECF8A9" w14:textId="057F9BB7" w:rsidR="00871455" w:rsidRDefault="00CA6DDB" w:rsidP="00062011">
      <w:pPr>
        <w:spacing w:line="276" w:lineRule="auto"/>
        <w:ind w:firstLine="567"/>
        <w:jc w:val="both"/>
        <w:rPr>
          <w:rFonts w:ascii="GHEA Grapalat" w:eastAsia="GHEA Grapalat" w:hAnsi="GHEA Grapalat" w:cs="GHEA Grapalat"/>
          <w:bCs/>
          <w:sz w:val="22"/>
          <w:szCs w:val="22"/>
        </w:rPr>
      </w:pPr>
      <w:r w:rsidRPr="00062011">
        <w:rPr>
          <w:rFonts w:ascii="GHEA Grapalat" w:eastAsia="GHEA Grapalat" w:hAnsi="GHEA Grapalat" w:cs="GHEA Grapalat"/>
          <w:bCs/>
          <w:sz w:val="22"/>
          <w:szCs w:val="22"/>
        </w:rPr>
        <w:t>2024</w:t>
      </w:r>
      <w:r w:rsidR="00871455" w:rsidRPr="00062011">
        <w:rPr>
          <w:rFonts w:ascii="GHEA Grapalat" w:eastAsia="GHEA Grapalat" w:hAnsi="GHEA Grapalat" w:cs="GHEA Grapalat"/>
          <w:bCs/>
          <w:sz w:val="22"/>
          <w:szCs w:val="22"/>
        </w:rPr>
        <w:t>թ</w:t>
      </w:r>
      <w:r w:rsidRPr="00062011">
        <w:rPr>
          <w:rFonts w:ascii="GHEA Grapalat" w:eastAsia="GHEA Grapalat" w:hAnsi="GHEA Grapalat" w:cs="GHEA Grapalat"/>
          <w:bCs/>
          <w:sz w:val="22"/>
          <w:szCs w:val="22"/>
        </w:rPr>
        <w:t>.</w:t>
      </w:r>
      <w:r w:rsidR="00871455" w:rsidRPr="00062011">
        <w:rPr>
          <w:rFonts w:ascii="GHEA Grapalat" w:eastAsia="GHEA Grapalat" w:hAnsi="GHEA Grapalat" w:cs="GHEA Grapalat"/>
          <w:bCs/>
          <w:sz w:val="22"/>
          <w:szCs w:val="22"/>
        </w:rPr>
        <w:t xml:space="preserve"> ՀՀ սպառողական շուկայում առկա գնանկումային միտումները շարունակաբար մեղմվել են և փոխարինվել թույլ՝ ԿԲ թիրախային միջակայքից ներքև գնաճային միտումներով` ձևավորելով տարեկան միջին գնաճի 0.3% ցուցանիշ։ Տարվա ընթացքում ՀՀ ԿԲ-ը զգալիորեն մեղմել է դրամավարկային պայմանները և քաղաքականության տոկոսադրույքը նվազեցրել 2</w:t>
      </w:r>
      <w:r w:rsidR="00871455" w:rsidRPr="00062011">
        <w:rPr>
          <w:rFonts w:ascii="Cambria Math" w:eastAsia="GHEA Grapalat" w:hAnsi="Cambria Math" w:cs="Cambria Math"/>
          <w:bCs/>
          <w:sz w:val="22"/>
          <w:szCs w:val="22"/>
        </w:rPr>
        <w:t>․</w:t>
      </w:r>
      <w:r w:rsidR="00871455" w:rsidRPr="00062011">
        <w:rPr>
          <w:rFonts w:ascii="GHEA Grapalat" w:eastAsia="GHEA Grapalat" w:hAnsi="GHEA Grapalat" w:cs="GHEA Grapalat"/>
          <w:bCs/>
          <w:sz w:val="22"/>
          <w:szCs w:val="22"/>
        </w:rPr>
        <w:t>25 տոկոսային կետով` դեկտեմբերին սահմանելով այն 7%-ի մակարդակում: Արտաքին հատվածից փոխանցվող գնանկումային ազդեցությունները, գնաճային սպասումների դեպի ներքև աստիճանական ճշգրտումը, դոլարի նկատմամբ դրամի արժևորման հետաձգված ազդեցությունները, ռուբլու նկատմամբ դրամի արժևորումը պայմանավորել են տարվա ընթացքում գնանկումային ճնշումները, որոնց՝ որոշակի թուլացման պայմաններում գնաճը սկսել է վերականգնվել և խթանող դրամավարկային քաղաքականության պայմաններում մոտենալ ԿԲ նպատակային միջակայքի ստորին շեմին։</w:t>
      </w:r>
      <w:r w:rsidR="00B85C24" w:rsidRPr="00062011">
        <w:rPr>
          <w:rFonts w:ascii="GHEA Grapalat" w:eastAsia="GHEA Grapalat" w:hAnsi="GHEA Grapalat" w:cs="GHEA Grapalat"/>
          <w:bCs/>
          <w:sz w:val="22"/>
          <w:szCs w:val="22"/>
        </w:rPr>
        <w:t xml:space="preserve"> </w:t>
      </w:r>
      <w:r w:rsidR="00871455" w:rsidRPr="00062011">
        <w:rPr>
          <w:rFonts w:ascii="GHEA Grapalat" w:eastAsia="GHEA Grapalat" w:hAnsi="GHEA Grapalat" w:cs="GHEA Grapalat"/>
          <w:bCs/>
          <w:sz w:val="22"/>
          <w:szCs w:val="22"/>
        </w:rPr>
        <w:t>12 ամսյա գնաճը դեկտեմբերին կազմել է 1.5%, իսկ բնականոն գնաճը՝ 0.9%։</w:t>
      </w:r>
    </w:p>
    <w:p w14:paraId="52760476" w14:textId="77777777" w:rsidR="00062011" w:rsidRPr="00062011" w:rsidRDefault="00062011" w:rsidP="00062011">
      <w:pPr>
        <w:spacing w:line="276" w:lineRule="auto"/>
        <w:ind w:firstLine="567"/>
        <w:jc w:val="both"/>
        <w:rPr>
          <w:rFonts w:ascii="GHEA Grapalat" w:eastAsia="GHEA Grapalat" w:hAnsi="GHEA Grapalat" w:cs="GHEA Grapalat"/>
          <w:bCs/>
          <w:sz w:val="22"/>
          <w:szCs w:val="22"/>
        </w:rPr>
      </w:pPr>
    </w:p>
    <w:p w14:paraId="3A0C54D2" w14:textId="57D20266" w:rsidR="00871455" w:rsidRPr="00062011" w:rsidRDefault="00871455" w:rsidP="00E0512F">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sz w:val="18"/>
          <w:szCs w:val="18"/>
        </w:rPr>
      </w:pPr>
      <w:r w:rsidRPr="00062011">
        <w:rPr>
          <w:rFonts w:ascii="GHEA Grapalat" w:eastAsia="Calibri" w:hAnsi="GHEA Grapalat" w:cs="Sylfaen"/>
          <w:b/>
          <w:sz w:val="18"/>
          <w:szCs w:val="18"/>
        </w:rPr>
        <w:t>Գծապատկեր 16.</w:t>
      </w:r>
      <w:r w:rsidRPr="00062011">
        <w:rPr>
          <w:rFonts w:ascii="GHEA Grapalat" w:hAnsi="GHEA Grapalat"/>
          <w:sz w:val="18"/>
          <w:szCs w:val="18"/>
        </w:rPr>
        <w:t xml:space="preserve"> </w:t>
      </w:r>
      <w:r w:rsidRPr="00062011">
        <w:rPr>
          <w:rFonts w:ascii="GHEA Grapalat" w:eastAsia="Calibri" w:hAnsi="GHEA Grapalat" w:cs="Sylfaen"/>
          <w:b/>
          <w:sz w:val="18"/>
          <w:szCs w:val="18"/>
        </w:rPr>
        <w:t>Գնաճի տեմպերը և ԿԲ տոկոսադրույքը</w:t>
      </w:r>
      <w:r w:rsidR="00052F2E" w:rsidRPr="008040E9">
        <w:rPr>
          <w:rFonts w:ascii="GHEA Grapalat" w:eastAsia="Calibri" w:hAnsi="GHEA Grapalat" w:cs="Sylfaen"/>
          <w:b/>
          <w:sz w:val="18"/>
          <w:szCs w:val="18"/>
        </w:rPr>
        <w:t>՝</w:t>
      </w:r>
      <w:r w:rsidRPr="00062011">
        <w:rPr>
          <w:rFonts w:ascii="GHEA Grapalat" w:eastAsia="Calibri" w:hAnsi="GHEA Grapalat" w:cs="Sylfaen"/>
          <w:b/>
          <w:sz w:val="18"/>
          <w:szCs w:val="18"/>
        </w:rPr>
        <w:t xml:space="preserve"> ըստ ամիսների, 2020-2024թթ</w:t>
      </w:r>
      <w:r w:rsidRPr="00062011">
        <w:rPr>
          <w:rFonts w:ascii="Cambria Math" w:eastAsia="MS Gothic" w:hAnsi="Cambria Math" w:cs="Cambria Math"/>
          <w:b/>
          <w:sz w:val="18"/>
          <w:szCs w:val="18"/>
        </w:rPr>
        <w:t>․</w:t>
      </w:r>
      <w:r w:rsidRPr="00062011">
        <w:rPr>
          <w:rFonts w:ascii="GHEA Grapalat" w:eastAsia="MS Mincho" w:hAnsi="GHEA Grapalat" w:cs="Arial"/>
          <w:b/>
          <w:sz w:val="18"/>
          <w:szCs w:val="18"/>
        </w:rPr>
        <w:t>,</w:t>
      </w:r>
      <w:r w:rsidRPr="00062011">
        <w:rPr>
          <w:rFonts w:ascii="GHEA Grapalat" w:eastAsia="Calibri" w:hAnsi="GHEA Grapalat" w:cs="Sylfaen"/>
          <w:b/>
          <w:sz w:val="18"/>
          <w:szCs w:val="18"/>
        </w:rPr>
        <w:t xml:space="preserve"> %</w:t>
      </w:r>
    </w:p>
    <w:p w14:paraId="061EC593" w14:textId="77777777" w:rsidR="00871455" w:rsidRPr="00D70CAF" w:rsidRDefault="00871455" w:rsidP="00BC2C75">
      <w:pPr>
        <w:spacing w:line="276" w:lineRule="auto"/>
        <w:jc w:val="both"/>
        <w:rPr>
          <w:rFonts w:ascii="GHEA Grapalat" w:eastAsia="GHEA Grapalat" w:hAnsi="GHEA Grapalat" w:cs="GHEA Grapalat"/>
          <w:sz w:val="22"/>
          <w:szCs w:val="22"/>
        </w:rPr>
      </w:pPr>
      <w:r w:rsidRPr="00D70CAF">
        <w:rPr>
          <w:rFonts w:ascii="GHEA Grapalat" w:eastAsia="GHEA Grapalat" w:hAnsi="GHEA Grapalat" w:cs="GHEA Grapalat"/>
          <w:sz w:val="22"/>
          <w:szCs w:val="22"/>
          <w:lang w:val="en-US"/>
        </w:rPr>
        <w:drawing>
          <wp:inline distT="0" distB="0" distL="0" distR="0" wp14:anchorId="78AA89C8" wp14:editId="11FB6C37">
            <wp:extent cx="6481445" cy="2519680"/>
            <wp:effectExtent l="0" t="0" r="14605" b="1397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58E3E3D" w14:textId="77777777" w:rsidR="00871455" w:rsidRPr="00BC2C75" w:rsidRDefault="00871455" w:rsidP="00716F1C">
      <w:pPr>
        <w:spacing w:line="276" w:lineRule="auto"/>
        <w:jc w:val="both"/>
        <w:rPr>
          <w:rFonts w:ascii="GHEA Grapalat" w:eastAsia="GHEA Grapalat" w:hAnsi="GHEA Grapalat" w:cs="GHEA Grapalat"/>
          <w:i/>
          <w:iCs/>
          <w:sz w:val="16"/>
          <w:szCs w:val="16"/>
        </w:rPr>
      </w:pPr>
      <w:r w:rsidRPr="00BC2C75">
        <w:rPr>
          <w:rFonts w:ascii="GHEA Grapalat" w:eastAsia="GHEA Grapalat" w:hAnsi="GHEA Grapalat" w:cs="GHEA Grapalat"/>
          <w:i/>
          <w:iCs/>
          <w:color w:val="000000"/>
          <w:sz w:val="16"/>
          <w:szCs w:val="16"/>
        </w:rPr>
        <w:t>Աղբյուրը՝ ՀՀ ԿԲ</w:t>
      </w:r>
    </w:p>
    <w:p w14:paraId="7944FFD5" w14:textId="77777777" w:rsidR="00062011" w:rsidRDefault="00062011" w:rsidP="00BC2C75">
      <w:pPr>
        <w:spacing w:line="276" w:lineRule="auto"/>
        <w:ind w:firstLine="567"/>
        <w:jc w:val="both"/>
        <w:rPr>
          <w:rFonts w:ascii="GHEA Grapalat" w:hAnsi="GHEA Grapalat" w:cs="GHEA Grapalat"/>
          <w:sz w:val="22"/>
          <w:szCs w:val="22"/>
        </w:rPr>
      </w:pPr>
    </w:p>
    <w:p w14:paraId="1CF69FF3" w14:textId="14334339" w:rsidR="00871455" w:rsidRDefault="00871455" w:rsidP="00BC2C75">
      <w:pPr>
        <w:spacing w:line="276" w:lineRule="auto"/>
        <w:ind w:firstLine="567"/>
        <w:jc w:val="both"/>
        <w:rPr>
          <w:rFonts w:ascii="GHEA Grapalat" w:hAnsi="GHEA Grapalat" w:cs="GHEA Grapalat"/>
          <w:sz w:val="22"/>
          <w:szCs w:val="22"/>
        </w:rPr>
      </w:pPr>
      <w:r w:rsidRPr="00D70CAF">
        <w:rPr>
          <w:rFonts w:ascii="GHEA Grapalat" w:hAnsi="GHEA Grapalat" w:cs="GHEA Grapalat"/>
          <w:sz w:val="22"/>
          <w:szCs w:val="22"/>
        </w:rPr>
        <w:t>Միջին գնաճին առավելապես նպաստել է «Ծառայություններ» ապրանքախմբում արձանագրված 3% գների աճը (նպաստումը գնաճին` 1</w:t>
      </w:r>
      <w:r w:rsidRPr="00D70CAF">
        <w:rPr>
          <w:rFonts w:ascii="Cambria Math" w:hAnsi="Cambria Math" w:cs="Cambria Math"/>
          <w:sz w:val="22"/>
          <w:szCs w:val="22"/>
        </w:rPr>
        <w:t>․</w:t>
      </w:r>
      <w:r w:rsidRPr="00BC2C75">
        <w:rPr>
          <w:rFonts w:ascii="GHEA Grapalat" w:hAnsi="GHEA Grapalat" w:cs="GHEA Grapalat"/>
          <w:sz w:val="22"/>
          <w:szCs w:val="22"/>
        </w:rPr>
        <w:t>0</w:t>
      </w:r>
      <w:r w:rsidRPr="00D70CAF">
        <w:rPr>
          <w:rFonts w:ascii="GHEA Grapalat" w:hAnsi="GHEA Grapalat" w:cs="GHEA Grapalat"/>
          <w:sz w:val="22"/>
          <w:szCs w:val="22"/>
        </w:rPr>
        <w:t xml:space="preserve"> տոկոսային կետ)</w:t>
      </w:r>
      <w:r w:rsidR="00A02A13" w:rsidRPr="008040E9">
        <w:rPr>
          <w:rFonts w:ascii="GHEA Grapalat" w:hAnsi="GHEA Grapalat" w:cs="GHEA Grapalat"/>
          <w:sz w:val="22"/>
          <w:szCs w:val="22"/>
        </w:rPr>
        <w:t>,</w:t>
      </w:r>
      <w:r w:rsidRPr="00D70CAF">
        <w:rPr>
          <w:rFonts w:ascii="GHEA Grapalat" w:hAnsi="GHEA Grapalat" w:cs="GHEA Grapalat"/>
          <w:sz w:val="22"/>
          <w:szCs w:val="22"/>
        </w:rPr>
        <w:t xml:space="preserve"> ինչը հիմնականում պայմանավորված է եղել հանգստի կազմակերպման համալիր ծառայությունների, տրանսպորտի ծառայությունների (մասնավորապես օդային մարդատար տրանսպորտի ծառայությունների) և միջնակարգ կրթության ծառայությունների սակագների աճերով։</w:t>
      </w:r>
      <w:r w:rsidRPr="00D70CAF">
        <w:rPr>
          <w:rFonts w:ascii="GHEA Grapalat" w:hAnsi="GHEA Grapalat" w:cs="GHEA Grapalat"/>
          <w:color w:val="FF0000"/>
          <w:sz w:val="22"/>
          <w:szCs w:val="22"/>
        </w:rPr>
        <w:t xml:space="preserve"> </w:t>
      </w:r>
      <w:r w:rsidRPr="00D70CAF">
        <w:rPr>
          <w:rFonts w:ascii="GHEA Grapalat" w:hAnsi="GHEA Grapalat" w:cs="GHEA Grapalat"/>
          <w:sz w:val="22"/>
          <w:szCs w:val="22"/>
        </w:rPr>
        <w:t>«Սննդամթեր</w:t>
      </w:r>
      <w:r w:rsidRPr="0094681B">
        <w:rPr>
          <w:rFonts w:ascii="GHEA Grapalat" w:hAnsi="GHEA Grapalat" w:cs="GHEA Grapalat"/>
          <w:sz w:val="22"/>
          <w:szCs w:val="22"/>
        </w:rPr>
        <w:t xml:space="preserve">ք և ոչ ալկոհոլային </w:t>
      </w:r>
      <w:r w:rsidRPr="0094681B">
        <w:rPr>
          <w:rFonts w:ascii="GHEA Grapalat" w:hAnsi="GHEA Grapalat" w:cs="GHEA Grapalat"/>
          <w:sz w:val="22"/>
          <w:szCs w:val="22"/>
        </w:rPr>
        <w:lastRenderedPageBreak/>
        <w:t>խմիչքներ» ապրանքախմբում արձանագրվել է 2% միջին գնանկման ցուցանիշ (նպաստումը գնաճին՝</w:t>
      </w:r>
      <w:r w:rsidR="00B85C24">
        <w:rPr>
          <w:rFonts w:ascii="GHEA Grapalat" w:hAnsi="GHEA Grapalat" w:cs="GHEA Grapalat"/>
          <w:sz w:val="22"/>
          <w:szCs w:val="22"/>
        </w:rPr>
        <w:t xml:space="preserve"> </w:t>
      </w:r>
      <w:r w:rsidRPr="0094681B">
        <w:rPr>
          <w:rFonts w:ascii="GHEA Grapalat" w:hAnsi="GHEA Grapalat" w:cs="GHEA Grapalat"/>
          <w:sz w:val="22"/>
          <w:szCs w:val="22"/>
        </w:rPr>
        <w:t>-0.8 տոկոսային կետ)`</w:t>
      </w:r>
      <w:r w:rsidRPr="00D70CAF">
        <w:rPr>
          <w:rFonts w:ascii="GHEA Grapalat" w:hAnsi="GHEA Grapalat" w:cs="GHEA Grapalat"/>
          <w:color w:val="FF0000"/>
          <w:sz w:val="22"/>
          <w:szCs w:val="22"/>
        </w:rPr>
        <w:t xml:space="preserve"> </w:t>
      </w:r>
      <w:r w:rsidRPr="00D70CAF">
        <w:rPr>
          <w:rFonts w:ascii="GHEA Grapalat" w:hAnsi="GHEA Grapalat" w:cs="GHEA Grapalat"/>
          <w:sz w:val="22"/>
          <w:szCs w:val="22"/>
        </w:rPr>
        <w:t>հիմնականում պայմանավորված առաջին անհրաժեշտության պարենային ապրանքների (յուղեր և ճարպեր, ձուկ և ծովամթերք, հացաբուլկեղեն և ձավարեղեն, բանջարեղեն) գնանկմամբ: «Ալկոհոլային խմիչքներ, ծխախոտային արտադրատեսակներ» խմբում արձանագրվել է 5</w:t>
      </w:r>
      <w:r w:rsidRPr="00BC2C75">
        <w:rPr>
          <w:rFonts w:ascii="Cambria Math" w:eastAsia="MS Gothic" w:hAnsi="Cambria Math" w:cs="Cambria Math"/>
          <w:sz w:val="22"/>
          <w:szCs w:val="22"/>
        </w:rPr>
        <w:t>․</w:t>
      </w:r>
      <w:r w:rsidRPr="00D70CAF">
        <w:rPr>
          <w:rFonts w:ascii="GHEA Grapalat" w:hAnsi="GHEA Grapalat" w:cs="GHEA Grapalat"/>
          <w:sz w:val="22"/>
          <w:szCs w:val="22"/>
        </w:rPr>
        <w:t>4% գնաճ (նպաստումը գնաճին` 0.2 տոկոսային կետ), իսկ «Ոչ պարենային ապրանքներ» խմբում արձանագրվել է 0</w:t>
      </w:r>
      <w:r w:rsidRPr="00BC2C75">
        <w:rPr>
          <w:rFonts w:ascii="Cambria Math" w:eastAsia="MS Gothic" w:hAnsi="Cambria Math" w:cs="Cambria Math"/>
          <w:sz w:val="22"/>
          <w:szCs w:val="22"/>
        </w:rPr>
        <w:t>․</w:t>
      </w:r>
      <w:r w:rsidRPr="00D70CAF">
        <w:rPr>
          <w:rFonts w:ascii="GHEA Grapalat" w:hAnsi="GHEA Grapalat" w:cs="GHEA Grapalat"/>
          <w:sz w:val="22"/>
          <w:szCs w:val="22"/>
        </w:rPr>
        <w:t>8% գնանկում (նպաստումը գնաճին` -0</w:t>
      </w:r>
      <w:r w:rsidRPr="00BC2C75">
        <w:rPr>
          <w:rFonts w:ascii="Cambria Math" w:eastAsia="MS Gothic" w:hAnsi="Cambria Math" w:cs="Cambria Math"/>
          <w:sz w:val="22"/>
          <w:szCs w:val="22"/>
        </w:rPr>
        <w:t>․</w:t>
      </w:r>
      <w:r w:rsidRPr="00D70CAF">
        <w:rPr>
          <w:rFonts w:ascii="GHEA Grapalat" w:hAnsi="GHEA Grapalat" w:cs="GHEA Grapalat"/>
          <w:sz w:val="22"/>
          <w:szCs w:val="22"/>
        </w:rPr>
        <w:t>2 տոկոսային կետ):</w:t>
      </w:r>
    </w:p>
    <w:p w14:paraId="0DA6963C" w14:textId="77777777" w:rsidR="00716F1C" w:rsidRPr="00D70CAF" w:rsidRDefault="00716F1C" w:rsidP="00BC2C75">
      <w:pPr>
        <w:spacing w:line="276" w:lineRule="auto"/>
        <w:ind w:firstLine="567"/>
        <w:jc w:val="both"/>
        <w:rPr>
          <w:rFonts w:ascii="GHEA Grapalat" w:hAnsi="GHEA Grapalat" w:cs="GHEA Grapalat"/>
          <w:sz w:val="22"/>
          <w:szCs w:val="22"/>
        </w:rPr>
      </w:pPr>
    </w:p>
    <w:p w14:paraId="3C62F56F" w14:textId="0D5C9477" w:rsidR="00871455" w:rsidRPr="00CA6DDB" w:rsidRDefault="00871455" w:rsidP="00716F1C">
      <w:pPr>
        <w:keepNext/>
        <w:keepLines/>
        <w:tabs>
          <w:tab w:val="left" w:pos="284"/>
          <w:tab w:val="left" w:pos="1560"/>
          <w:tab w:val="left" w:pos="1980"/>
        </w:tabs>
        <w:autoSpaceDE w:val="0"/>
        <w:autoSpaceDN w:val="0"/>
        <w:adjustRightInd w:val="0"/>
        <w:spacing w:line="276" w:lineRule="auto"/>
        <w:rPr>
          <w:rFonts w:ascii="GHEA Grapalat" w:hAnsi="GHEA Grapalat" w:cs="Sylfaen"/>
          <w:b/>
          <w:sz w:val="18"/>
          <w:szCs w:val="18"/>
          <w:lang w:eastAsia="x-none"/>
        </w:rPr>
      </w:pPr>
      <w:r w:rsidRPr="00CA6DDB">
        <w:rPr>
          <w:rFonts w:ascii="GHEA Grapalat" w:eastAsia="GHEA Grapalat" w:hAnsi="GHEA Grapalat" w:cs="GHEA Grapalat"/>
          <w:b/>
          <w:sz w:val="18"/>
          <w:szCs w:val="18"/>
        </w:rPr>
        <w:t>Գծապատկեր 17.</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Գնաճի նպաստումները խոշոր ապրանքախմբերով, 2020-2024թթ., տոկոսային կետ</w:t>
      </w:r>
    </w:p>
    <w:p w14:paraId="3B6E7A17" w14:textId="77777777" w:rsidR="00871455" w:rsidRPr="00D70CAF" w:rsidRDefault="00871455" w:rsidP="00BC2C75">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36BE516E" wp14:editId="3E46C3A0">
            <wp:extent cx="3168000" cy="2520000"/>
            <wp:effectExtent l="0" t="0" r="13970" b="1397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D70CAF">
        <w:rPr>
          <w:rFonts w:ascii="GHEA Grapalat" w:hAnsi="GHEA Grapalat" w:cs="Sylfaen"/>
          <w:b/>
          <w:sz w:val="22"/>
          <w:szCs w:val="22"/>
          <w:lang w:eastAsia="x-none"/>
        </w:rPr>
        <w:t xml:space="preserve"> </w:t>
      </w:r>
      <w:r w:rsidRPr="00D70CAF">
        <w:rPr>
          <w:rFonts w:ascii="GHEA Grapalat" w:hAnsi="GHEA Grapalat" w:cs="Sylfaen"/>
          <w:b/>
          <w:szCs w:val="22"/>
          <w:lang w:val="en-US"/>
        </w:rPr>
        <w:drawing>
          <wp:inline distT="0" distB="0" distL="0" distR="0" wp14:anchorId="3BCBA2B9" wp14:editId="0E2E65A2">
            <wp:extent cx="3168000" cy="2520000"/>
            <wp:effectExtent l="0" t="0" r="13970" b="1397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84EAB3C" w14:textId="77777777" w:rsidR="00871455" w:rsidRPr="00D70CAF" w:rsidRDefault="00871455" w:rsidP="00511EB7">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24FDA3D6" wp14:editId="3183141F">
            <wp:extent cx="6381750" cy="695325"/>
            <wp:effectExtent l="0" t="0" r="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D0BDF56" w14:textId="77777777" w:rsidR="00871455" w:rsidRPr="00BC2C75" w:rsidRDefault="00871455" w:rsidP="00511EB7">
      <w:pPr>
        <w:spacing w:line="276" w:lineRule="auto"/>
        <w:rPr>
          <w:rFonts w:ascii="GHEA Grapalat" w:hAnsi="GHEA Grapalat" w:cs="Sylfaen"/>
          <w:b/>
          <w:i/>
          <w:iCs/>
          <w:sz w:val="16"/>
          <w:szCs w:val="16"/>
          <w:lang w:eastAsia="x-none"/>
        </w:rPr>
      </w:pPr>
      <w:r w:rsidRPr="00BC2C75">
        <w:rPr>
          <w:rFonts w:ascii="GHEA Grapalat" w:eastAsia="GHEA Grapalat" w:hAnsi="GHEA Grapalat" w:cs="GHEA Grapalat"/>
          <w:i/>
          <w:iCs/>
          <w:color w:val="000000"/>
          <w:sz w:val="16"/>
          <w:szCs w:val="16"/>
        </w:rPr>
        <w:t>Աղբյուրը՝ ՀՀ ՎԿ և ՀՀ ՖՆ հաշվարկներ</w:t>
      </w:r>
    </w:p>
    <w:p w14:paraId="3D75E025" w14:textId="77777777" w:rsidR="00511EB7" w:rsidRDefault="00511EB7" w:rsidP="00511EB7">
      <w:pPr>
        <w:spacing w:line="276" w:lineRule="auto"/>
        <w:ind w:firstLine="720"/>
        <w:jc w:val="both"/>
        <w:rPr>
          <w:rFonts w:ascii="GHEA Grapalat" w:eastAsia="GHEA Grapalat" w:hAnsi="GHEA Grapalat" w:cs="GHEA Grapalat"/>
          <w:iCs/>
          <w:color w:val="000000"/>
          <w:sz w:val="22"/>
          <w:szCs w:val="22"/>
        </w:rPr>
      </w:pPr>
    </w:p>
    <w:p w14:paraId="6B83A51B" w14:textId="0D98E42A" w:rsidR="00871455" w:rsidRPr="00BC2C75" w:rsidRDefault="00CA6DDB" w:rsidP="00511EB7">
      <w:pPr>
        <w:spacing w:line="276" w:lineRule="auto"/>
        <w:ind w:firstLine="720"/>
        <w:jc w:val="both"/>
        <w:rPr>
          <w:rFonts w:ascii="GHEA Grapalat" w:hAnsi="GHEA Grapalat" w:cs="Sylfaen"/>
          <w:b/>
          <w:iCs/>
          <w:sz w:val="22"/>
          <w:szCs w:val="22"/>
          <w:lang w:eastAsia="x-none"/>
        </w:rPr>
      </w:pPr>
      <w:r>
        <w:rPr>
          <w:rFonts w:ascii="GHEA Grapalat" w:eastAsia="GHEA Grapalat" w:hAnsi="GHEA Grapalat" w:cs="GHEA Grapalat"/>
          <w:iCs/>
          <w:color w:val="000000"/>
          <w:sz w:val="22"/>
          <w:szCs w:val="22"/>
        </w:rPr>
        <w:t>2024</w:t>
      </w:r>
      <w:r w:rsidR="00871455" w:rsidRPr="00D70CAF">
        <w:rPr>
          <w:rFonts w:ascii="GHEA Grapalat" w:eastAsia="GHEA Grapalat" w:hAnsi="GHEA Grapalat" w:cs="GHEA Grapalat"/>
          <w:iCs/>
          <w:color w:val="000000"/>
          <w:sz w:val="22"/>
          <w:szCs w:val="22"/>
        </w:rPr>
        <w:t>թ</w:t>
      </w:r>
      <w:r>
        <w:rPr>
          <w:rFonts w:ascii="GHEA Grapalat" w:eastAsia="GHEA Grapalat" w:hAnsi="GHEA Grapalat" w:cs="GHEA Grapalat"/>
          <w:iCs/>
          <w:color w:val="000000"/>
          <w:sz w:val="22"/>
          <w:szCs w:val="22"/>
        </w:rPr>
        <w:t>.</w:t>
      </w:r>
      <w:r w:rsidR="00871455" w:rsidRPr="00D70CAF">
        <w:rPr>
          <w:rFonts w:ascii="GHEA Grapalat" w:eastAsia="GHEA Grapalat" w:hAnsi="GHEA Grapalat" w:cs="GHEA Grapalat"/>
          <w:iCs/>
          <w:color w:val="000000"/>
          <w:sz w:val="22"/>
          <w:szCs w:val="22"/>
        </w:rPr>
        <w:t xml:space="preserve"> ԿԲ</w:t>
      </w:r>
      <w:r w:rsidR="00871455" w:rsidRPr="0094681B">
        <w:rPr>
          <w:rFonts w:ascii="GHEA Grapalat" w:eastAsia="GHEA Grapalat" w:hAnsi="GHEA Grapalat" w:cs="GHEA Grapalat"/>
          <w:iCs/>
          <w:color w:val="000000"/>
          <w:sz w:val="22"/>
          <w:szCs w:val="22"/>
        </w:rPr>
        <w:t>-ը</w:t>
      </w:r>
      <w:r w:rsidR="00871455" w:rsidRPr="0047715D">
        <w:rPr>
          <w:rFonts w:ascii="GHEA Grapalat" w:eastAsia="GHEA Grapalat" w:hAnsi="GHEA Grapalat" w:cs="GHEA Grapalat"/>
          <w:iCs/>
          <w:color w:val="000000"/>
          <w:sz w:val="22"/>
          <w:szCs w:val="22"/>
        </w:rPr>
        <w:t xml:space="preserve"> նվազեցրել </w:t>
      </w:r>
      <w:r w:rsidR="00871455" w:rsidRPr="000D59AF">
        <w:rPr>
          <w:rFonts w:ascii="GHEA Grapalat" w:eastAsia="GHEA Grapalat" w:hAnsi="GHEA Grapalat" w:cs="GHEA Grapalat"/>
          <w:iCs/>
          <w:color w:val="000000"/>
          <w:sz w:val="22"/>
          <w:szCs w:val="22"/>
        </w:rPr>
        <w:t xml:space="preserve">է քաղաքականության </w:t>
      </w:r>
      <w:r w:rsidR="00871455" w:rsidRPr="00BC2C75">
        <w:rPr>
          <w:rFonts w:ascii="GHEA Grapalat" w:eastAsia="GHEA Grapalat" w:hAnsi="GHEA Grapalat" w:cs="GHEA Grapalat"/>
          <w:iCs/>
          <w:color w:val="000000"/>
          <w:sz w:val="22"/>
          <w:szCs w:val="22"/>
        </w:rPr>
        <w:t>տոկոսադրույքը 2.25</w:t>
      </w:r>
      <w:r w:rsidR="00871455" w:rsidRPr="00D70CAF">
        <w:rPr>
          <w:rFonts w:ascii="GHEA Grapalat" w:eastAsia="GHEA Grapalat" w:hAnsi="GHEA Grapalat" w:cs="GHEA Grapalat"/>
          <w:iCs/>
          <w:color w:val="000000"/>
          <w:sz w:val="22"/>
          <w:szCs w:val="22"/>
        </w:rPr>
        <w:t xml:space="preserve"> տոկոսային </w:t>
      </w:r>
      <w:r w:rsidR="00871455" w:rsidRPr="0094681B">
        <w:rPr>
          <w:rFonts w:ascii="GHEA Grapalat" w:eastAsia="GHEA Grapalat" w:hAnsi="GHEA Grapalat" w:cs="GHEA Grapalat"/>
          <w:iCs/>
          <w:color w:val="000000"/>
          <w:sz w:val="22"/>
          <w:szCs w:val="22"/>
        </w:rPr>
        <w:t xml:space="preserve">կետով, </w:t>
      </w:r>
      <w:r w:rsidR="00871455" w:rsidRPr="0047715D">
        <w:rPr>
          <w:rFonts w:ascii="GHEA Grapalat" w:eastAsia="GHEA Grapalat" w:hAnsi="GHEA Grapalat" w:cs="GHEA Grapalat"/>
          <w:iCs/>
          <w:color w:val="000000"/>
          <w:sz w:val="22"/>
          <w:szCs w:val="22"/>
        </w:rPr>
        <w:t>դեկտեմբերի 10-ին</w:t>
      </w:r>
      <w:r w:rsidR="00871455" w:rsidRPr="000D59AF">
        <w:rPr>
          <w:rFonts w:ascii="GHEA Grapalat" w:eastAsia="GHEA Grapalat" w:hAnsi="GHEA Grapalat" w:cs="GHEA Grapalat"/>
          <w:iCs/>
          <w:color w:val="000000"/>
          <w:sz w:val="22"/>
          <w:szCs w:val="22"/>
        </w:rPr>
        <w:t xml:space="preserve"> իջեցնելով տոկոսադրույքը</w:t>
      </w:r>
      <w:r w:rsidR="00871455" w:rsidRPr="00BC2C75">
        <w:rPr>
          <w:rFonts w:ascii="GHEA Grapalat" w:eastAsia="GHEA Grapalat" w:hAnsi="GHEA Grapalat" w:cs="GHEA Grapalat"/>
          <w:iCs/>
          <w:color w:val="000000"/>
          <w:sz w:val="22"/>
          <w:szCs w:val="22"/>
        </w:rPr>
        <w:t xml:space="preserve"> 0.25 տոկոսային կետով՝ սահմանելով այն 7%։ Դրամավարկային պայմանների աստիճանական թուլացումը և քաղաքականության հետագա մեղմացման սպասումները հանգեցրել են պետական պարտատոմսերի տոկոսադրույքների նվազմանը: Միաժամանակ, ավանդների տոկոսադրույքները շարունակում են պահպանվել իրենց միջին մակարդակներում, իսկ վարկերի տոկոսադրույքները որոշակի աճել են` պայմանավորված իրավաբանական անձանց տրամադրվող վարկերի տոկոսադրույքների աճով։ </w:t>
      </w:r>
      <w:r w:rsidR="009C150D">
        <w:rPr>
          <w:rFonts w:ascii="GHEA Grapalat" w:eastAsia="GHEA Grapalat" w:hAnsi="GHEA Grapalat" w:cs="GHEA Grapalat"/>
          <w:iCs/>
          <w:color w:val="000000"/>
          <w:sz w:val="22"/>
          <w:szCs w:val="22"/>
        </w:rPr>
        <w:t xml:space="preserve"> հիպոտեկ</w:t>
      </w:r>
      <w:r w:rsidR="00871455" w:rsidRPr="00BC2C75">
        <w:rPr>
          <w:rFonts w:ascii="GHEA Grapalat" w:eastAsia="GHEA Grapalat" w:hAnsi="GHEA Grapalat" w:cs="GHEA Grapalat"/>
          <w:iCs/>
          <w:color w:val="000000"/>
          <w:sz w:val="22"/>
          <w:szCs w:val="22"/>
        </w:rPr>
        <w:t>ային և սպառողական վարկերի տոկոսադրույքները</w:t>
      </w:r>
      <w:r w:rsidR="00B85C24">
        <w:rPr>
          <w:rFonts w:ascii="GHEA Grapalat" w:eastAsia="GHEA Grapalat" w:hAnsi="GHEA Grapalat" w:cs="GHEA Grapalat"/>
          <w:iCs/>
          <w:color w:val="000000"/>
          <w:sz w:val="22"/>
          <w:szCs w:val="22"/>
        </w:rPr>
        <w:t xml:space="preserve"> </w:t>
      </w:r>
      <w:r>
        <w:rPr>
          <w:rFonts w:ascii="GHEA Grapalat" w:eastAsia="GHEA Grapalat" w:hAnsi="GHEA Grapalat" w:cs="GHEA Grapalat"/>
          <w:iCs/>
          <w:color w:val="000000"/>
          <w:sz w:val="22"/>
          <w:szCs w:val="22"/>
        </w:rPr>
        <w:t>2024</w:t>
      </w:r>
      <w:r w:rsidR="00871455" w:rsidRPr="00BC2C75">
        <w:rPr>
          <w:rFonts w:ascii="GHEA Grapalat" w:eastAsia="GHEA Grapalat" w:hAnsi="GHEA Grapalat" w:cs="GHEA Grapalat"/>
          <w:iCs/>
          <w:color w:val="000000"/>
          <w:sz w:val="22"/>
          <w:szCs w:val="22"/>
        </w:rPr>
        <w:t>թ</w:t>
      </w:r>
      <w:r>
        <w:rPr>
          <w:rFonts w:ascii="GHEA Grapalat" w:eastAsia="GHEA Grapalat" w:hAnsi="GHEA Grapalat" w:cs="GHEA Grapalat"/>
          <w:iCs/>
          <w:color w:val="000000"/>
          <w:sz w:val="22"/>
          <w:szCs w:val="22"/>
        </w:rPr>
        <w:t>.</w:t>
      </w:r>
      <w:r w:rsidR="00871455" w:rsidRPr="00BC2C75">
        <w:rPr>
          <w:rFonts w:ascii="GHEA Grapalat" w:eastAsia="GHEA Grapalat" w:hAnsi="GHEA Grapalat" w:cs="GHEA Grapalat"/>
          <w:iCs/>
          <w:color w:val="000000"/>
          <w:sz w:val="22"/>
          <w:szCs w:val="22"/>
        </w:rPr>
        <w:t xml:space="preserve"> ընթացքում կայունացել են։ </w:t>
      </w:r>
    </w:p>
    <w:p w14:paraId="3461E5DC" w14:textId="08F7D9CA" w:rsidR="00871455" w:rsidRPr="00CA6DDB" w:rsidRDefault="00871455" w:rsidP="00CA6DDB">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CA6DDB">
        <w:rPr>
          <w:rFonts w:ascii="GHEA Grapalat" w:eastAsia="GHEA Grapalat" w:hAnsi="GHEA Grapalat" w:cs="GHEA Grapalat"/>
          <w:b/>
          <w:sz w:val="18"/>
          <w:szCs w:val="18"/>
        </w:rPr>
        <w:lastRenderedPageBreak/>
        <w:t>Գծապատկեր 18</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ՀՀ դրամով տոկոսադրույքների միտումները ՀՀ ֆինանսական շուկաներում, 2020-2024թթ.,%</w:t>
      </w:r>
    </w:p>
    <w:p w14:paraId="2ABBF5E0" w14:textId="77777777" w:rsidR="00871455" w:rsidRPr="00345A1C" w:rsidRDefault="00871455" w:rsidP="00716F1C">
      <w:pPr>
        <w:spacing w:line="276" w:lineRule="auto"/>
        <w:rPr>
          <w:rFonts w:ascii="GHEA Grapalat" w:hAnsi="GHEA Grapalat" w:cs="GHEA Grapalat"/>
          <w:sz w:val="22"/>
          <w:szCs w:val="22"/>
        </w:rPr>
      </w:pPr>
      <w:r w:rsidRPr="00345A1C">
        <w:rPr>
          <w:rFonts w:ascii="GHEA Grapalat" w:hAnsi="GHEA Grapalat" w:cs="GHEA Grapalat"/>
          <w:sz w:val="22"/>
          <w:szCs w:val="22"/>
          <w:lang w:val="en-US"/>
        </w:rPr>
        <w:drawing>
          <wp:inline distT="0" distB="0" distL="0" distR="0" wp14:anchorId="0CA7B8C4" wp14:editId="4E8E9724">
            <wp:extent cx="6429375" cy="2505075"/>
            <wp:effectExtent l="0" t="0" r="9525" b="95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7D45AC2" w14:textId="77777777" w:rsidR="00871455" w:rsidRPr="00BC2C75" w:rsidRDefault="00871455" w:rsidP="00716F1C">
      <w:pPr>
        <w:spacing w:line="276" w:lineRule="auto"/>
        <w:rPr>
          <w:rFonts w:ascii="GHEA Grapalat" w:hAnsi="GHEA Grapalat" w:cs="GHEA Grapalat"/>
          <w:i/>
          <w:iCs/>
          <w:sz w:val="16"/>
          <w:szCs w:val="16"/>
        </w:rPr>
      </w:pPr>
      <w:r w:rsidRPr="00BC2C75">
        <w:rPr>
          <w:rFonts w:ascii="GHEA Grapalat" w:hAnsi="GHEA Grapalat"/>
          <w:i/>
          <w:iCs/>
          <w:sz w:val="16"/>
          <w:szCs w:val="16"/>
        </w:rPr>
        <w:t>Աղբյուրը՝ ՀՀ ԿԲ</w:t>
      </w:r>
    </w:p>
    <w:p w14:paraId="6C202C35" w14:textId="77777777" w:rsidR="00716F1C" w:rsidRPr="00716F1C" w:rsidRDefault="00716F1C" w:rsidP="00716F1C">
      <w:pPr>
        <w:spacing w:line="276" w:lineRule="auto"/>
        <w:ind w:firstLine="567"/>
        <w:jc w:val="both"/>
        <w:rPr>
          <w:rFonts w:ascii="GHEA Grapalat" w:hAnsi="GHEA Grapalat"/>
          <w:sz w:val="22"/>
          <w:szCs w:val="22"/>
        </w:rPr>
      </w:pPr>
      <w:bookmarkStart w:id="9" w:name="_Toc6389323"/>
      <w:bookmarkStart w:id="10" w:name="_Toc37763590"/>
    </w:p>
    <w:p w14:paraId="18F816DF" w14:textId="5EE0AB80" w:rsidR="00927AC7" w:rsidRPr="008A2436" w:rsidRDefault="00927AC7" w:rsidP="00220D60">
      <w:pPr>
        <w:pStyle w:val="Heading4"/>
        <w:numPr>
          <w:ilvl w:val="3"/>
          <w:numId w:val="10"/>
        </w:numPr>
        <w:tabs>
          <w:tab w:val="left" w:pos="709"/>
        </w:tabs>
        <w:spacing w:after="240"/>
        <w:ind w:left="993" w:hanging="993"/>
        <w:rPr>
          <w:i w:val="0"/>
          <w:sz w:val="24"/>
          <w:szCs w:val="24"/>
        </w:rPr>
      </w:pPr>
      <w:r w:rsidRPr="008A2436">
        <w:rPr>
          <w:i w:val="0"/>
          <w:sz w:val="24"/>
          <w:szCs w:val="24"/>
        </w:rPr>
        <w:t>Արտաքին հատված</w:t>
      </w:r>
    </w:p>
    <w:p w14:paraId="00921DFD" w14:textId="2C4865A7" w:rsidR="00927AC7" w:rsidRPr="00345A1C" w:rsidRDefault="00927AC7" w:rsidP="00A32D2B">
      <w:pPr>
        <w:spacing w:line="276" w:lineRule="auto"/>
        <w:ind w:firstLine="567"/>
        <w:jc w:val="both"/>
        <w:rPr>
          <w:rFonts w:ascii="GHEA Grapalat" w:hAnsi="GHEA Grapalat"/>
          <w:sz w:val="22"/>
          <w:szCs w:val="22"/>
        </w:rPr>
      </w:pPr>
      <w:r w:rsidRPr="002D74A5">
        <w:rPr>
          <w:rFonts w:ascii="GHEA Grapalat" w:hAnsi="GHEA Grapalat"/>
          <w:b/>
          <w:i/>
          <w:sz w:val="22"/>
          <w:szCs w:val="22"/>
        </w:rPr>
        <w:t xml:space="preserve">Ընթացիկ հաշիվ: </w:t>
      </w:r>
      <w:r w:rsidR="00CA6DDB" w:rsidRPr="000C67FA">
        <w:rPr>
          <w:rFonts w:ascii="GHEA Grapalat" w:hAnsi="GHEA Grapalat"/>
          <w:sz w:val="22"/>
          <w:szCs w:val="22"/>
        </w:rPr>
        <w:t>2024</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ընթացիկ հաշվի պակասուրդը նախորդ տարվա համեմատ վատթարացել է՝ կազմելով ՀՆԱ-ի 3.9%-ը:</w:t>
      </w:r>
      <w:r w:rsidRPr="00345A1C">
        <w:rPr>
          <w:rFonts w:ascii="GHEA Grapalat" w:hAnsi="GHEA Grapalat"/>
          <w:sz w:val="22"/>
          <w:szCs w:val="22"/>
        </w:rPr>
        <w:t xml:space="preserve"> Ընթացիկ հաշվի վատթարացումը հիմնականում պայմանավորված է</w:t>
      </w:r>
      <w:r w:rsidR="007459F1" w:rsidRPr="00345A1C">
        <w:rPr>
          <w:rFonts w:ascii="GHEA Grapalat" w:hAnsi="GHEA Grapalat"/>
          <w:sz w:val="22"/>
          <w:szCs w:val="22"/>
        </w:rPr>
        <w:t xml:space="preserve"> եղել</w:t>
      </w:r>
      <w:r w:rsidRPr="00345A1C">
        <w:rPr>
          <w:rFonts w:ascii="GHEA Grapalat" w:hAnsi="GHEA Grapalat"/>
          <w:sz w:val="22"/>
          <w:szCs w:val="22"/>
        </w:rPr>
        <w:t xml:space="preserve"> ծառայությունների հաշվեկշռի վատթարացմամբ, ինչպես նաև սկզբնական եկամուտների նվազմամբ: Դոլարային արտահայտությամբ ապրանքների և ծառայությունների բացասական հաշվեկշիռը կազմել է ՀՆԱ-ի 1.8%-ը` նախորդ տարվա համեմատ վատթարանալով 1 տոկոսային կետով, ինչը հիմնականում պայմանավորված է ծառայությունների հաշվեկ</w:t>
      </w:r>
      <w:r w:rsidR="00C57C4F" w:rsidRPr="00345A1C">
        <w:rPr>
          <w:rFonts w:ascii="GHEA Grapalat" w:hAnsi="GHEA Grapalat"/>
          <w:sz w:val="22"/>
          <w:szCs w:val="22"/>
        </w:rPr>
        <w:t>շռի՝ ՀՆԱ-ում 2.5 տոկոսային կետ</w:t>
      </w:r>
      <w:r w:rsidRPr="00345A1C">
        <w:rPr>
          <w:rFonts w:ascii="GHEA Grapalat" w:hAnsi="GHEA Grapalat"/>
          <w:sz w:val="22"/>
          <w:szCs w:val="22"/>
        </w:rPr>
        <w:t xml:space="preserve"> վատթարացմամբ: Տնտեսություն ներհոսող դ</w:t>
      </w:r>
      <w:r w:rsidR="00E0512F">
        <w:rPr>
          <w:rFonts w:ascii="GHEA Grapalat" w:hAnsi="GHEA Grapalat"/>
          <w:sz w:val="22"/>
          <w:szCs w:val="22"/>
        </w:rPr>
        <w:t>րամական զուտ փոխանցումները 2024</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նվազել են շուրջ 22%-ով` պայմանավորված ինչպես ներհոսքի նվ</w:t>
      </w:r>
      <w:r w:rsidR="000C67FA">
        <w:rPr>
          <w:rFonts w:ascii="GHEA Grapalat" w:hAnsi="GHEA Grapalat"/>
          <w:sz w:val="22"/>
          <w:szCs w:val="22"/>
        </w:rPr>
        <w:t>ազմամբ (հատկապես` ՌԴ</w:t>
      </w:r>
      <w:r w:rsidR="000C67FA">
        <w:rPr>
          <w:rFonts w:ascii="GHEA Grapalat" w:hAnsi="GHEA Grapalat"/>
          <w:sz w:val="22"/>
          <w:szCs w:val="22"/>
        </w:rPr>
        <w:noBreakHyphen/>
      </w:r>
      <w:r w:rsidRPr="00345A1C">
        <w:rPr>
          <w:rFonts w:ascii="GHEA Grapalat" w:hAnsi="GHEA Grapalat"/>
          <w:sz w:val="22"/>
          <w:szCs w:val="22"/>
        </w:rPr>
        <w:t>ից), այնպես էլ դեպի այլ երկրներ արտահոսքի ավելացմամբ: Նշված</w:t>
      </w:r>
      <w:r w:rsidR="00E0512F">
        <w:rPr>
          <w:rFonts w:ascii="GHEA Grapalat" w:hAnsi="GHEA Grapalat"/>
          <w:sz w:val="22"/>
          <w:szCs w:val="22"/>
        </w:rPr>
        <w:t xml:space="preserve"> զարգացումների արդյունքում 2024</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նախորդ տարվա համեմատ ՀՆԱ</w:t>
      </w:r>
      <w:r w:rsidRPr="00345A1C">
        <w:rPr>
          <w:rFonts w:ascii="GHEA Grapalat" w:hAnsi="GHEA Grapalat"/>
          <w:sz w:val="22"/>
          <w:szCs w:val="22"/>
        </w:rPr>
        <w:noBreakHyphen/>
        <w:t xml:space="preserve">ում ընթացիկ հաշվի պակասուրդը վատթարացել է 1.6 տոկոսային կետով: </w:t>
      </w:r>
    </w:p>
    <w:p w14:paraId="00953680" w14:textId="20F57CCD" w:rsidR="00927AC7" w:rsidRPr="00345A1C" w:rsidRDefault="00927AC7" w:rsidP="00A32D2B">
      <w:pPr>
        <w:spacing w:after="240" w:line="276" w:lineRule="auto"/>
        <w:ind w:firstLine="567"/>
        <w:jc w:val="both"/>
        <w:rPr>
          <w:rFonts w:ascii="GHEA Grapalat" w:hAnsi="GHEA Grapalat"/>
          <w:sz w:val="22"/>
          <w:szCs w:val="22"/>
        </w:rPr>
      </w:pPr>
      <w:r w:rsidRPr="00345A1C">
        <w:rPr>
          <w:rFonts w:ascii="GHEA Grapalat" w:hAnsi="GHEA Grapalat"/>
          <w:b/>
          <w:i/>
          <w:sz w:val="22"/>
          <w:szCs w:val="22"/>
        </w:rPr>
        <w:t>Արտաքին առևտուր (դոլարային արտահայտությամբ)</w:t>
      </w:r>
      <w:r w:rsidRPr="00345A1C">
        <w:rPr>
          <w:rFonts w:ascii="GHEA Grapalat" w:hAnsi="GHEA Grapalat"/>
          <w:b/>
          <w:i/>
          <w:sz w:val="22"/>
          <w:szCs w:val="22"/>
          <w:vertAlign w:val="superscript"/>
        </w:rPr>
        <w:footnoteReference w:id="12"/>
      </w:r>
      <w:r w:rsidRPr="00345A1C">
        <w:rPr>
          <w:rFonts w:ascii="GHEA Grapalat" w:hAnsi="GHEA Grapalat"/>
          <w:b/>
          <w:i/>
          <w:sz w:val="22"/>
          <w:szCs w:val="22"/>
        </w:rPr>
        <w:t>:</w:t>
      </w:r>
      <w:r w:rsidRPr="00345A1C">
        <w:rPr>
          <w:rFonts w:ascii="GHEA Grapalat" w:hAnsi="GHEA Grapalat"/>
          <w:sz w:val="22"/>
          <w:szCs w:val="22"/>
        </w:rPr>
        <w:t xml:space="preserve"> </w:t>
      </w:r>
      <w:r w:rsidR="00CA6DDB" w:rsidRPr="000C67FA">
        <w:rPr>
          <w:rFonts w:ascii="GHEA Grapalat" w:hAnsi="GHEA Grapalat"/>
          <w:sz w:val="22"/>
          <w:szCs w:val="22"/>
        </w:rPr>
        <w:t>2024</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գրանցվել է արտաքին ապրանքաշրջանառության երկնիշ աճ՝ հիմնականում պայմանավորված վերաարտահանման բարձր ծավալներով։</w:t>
      </w:r>
      <w:r w:rsidRPr="00345A1C">
        <w:rPr>
          <w:rFonts w:ascii="GHEA Grapalat" w:hAnsi="GHEA Grapalat"/>
          <w:sz w:val="22"/>
          <w:szCs w:val="22"/>
        </w:rPr>
        <w:t xml:space="preserve"> Արտա</w:t>
      </w:r>
      <w:r w:rsidR="00CA6DDB">
        <w:rPr>
          <w:rFonts w:ascii="GHEA Grapalat" w:hAnsi="GHEA Grapalat"/>
          <w:sz w:val="22"/>
          <w:szCs w:val="22"/>
        </w:rPr>
        <w:t>քին ապրանքաշրջանառությունը 2024</w:t>
      </w:r>
      <w:r w:rsidRPr="00345A1C">
        <w:rPr>
          <w:rFonts w:ascii="GHEA Grapalat" w:hAnsi="GHEA Grapalat"/>
          <w:sz w:val="22"/>
          <w:szCs w:val="22"/>
        </w:rPr>
        <w:t>թ</w:t>
      </w:r>
      <w:r w:rsidR="00CA6DDB">
        <w:rPr>
          <w:rFonts w:ascii="GHEA Grapalat" w:hAnsi="GHEA Grapalat"/>
          <w:sz w:val="22"/>
          <w:szCs w:val="22"/>
        </w:rPr>
        <w:t>.</w:t>
      </w:r>
      <w:r w:rsidR="000C67FA">
        <w:rPr>
          <w:rFonts w:ascii="GHEA Grapalat" w:hAnsi="GHEA Grapalat"/>
          <w:sz w:val="22"/>
          <w:szCs w:val="22"/>
        </w:rPr>
        <w:t xml:space="preserve"> կազմել է 30,159</w:t>
      </w:r>
      <w:r w:rsidR="000C67FA" w:rsidRPr="008040E9">
        <w:rPr>
          <w:rFonts w:ascii="GHEA Grapalat" w:hAnsi="GHEA Grapalat"/>
          <w:sz w:val="22"/>
          <w:szCs w:val="22"/>
        </w:rPr>
        <w:t xml:space="preserve"> </w:t>
      </w:r>
      <w:r w:rsidRPr="00345A1C">
        <w:rPr>
          <w:rFonts w:ascii="GHEA Grapalat" w:hAnsi="GHEA Grapalat"/>
          <w:sz w:val="22"/>
          <w:szCs w:val="22"/>
        </w:rPr>
        <w:t>մլն ԱՄՆ դոլար` նախորդ տարվա նկատմամբ աճելով 41.5%</w:t>
      </w:r>
      <w:r w:rsidR="000C67FA" w:rsidRPr="008040E9">
        <w:rPr>
          <w:rFonts w:ascii="GHEA Grapalat" w:hAnsi="GHEA Grapalat"/>
          <w:sz w:val="22"/>
          <w:szCs w:val="22"/>
        </w:rPr>
        <w:t>-ով</w:t>
      </w:r>
      <w:r w:rsidRPr="00345A1C">
        <w:rPr>
          <w:rFonts w:ascii="GHEA Grapalat" w:hAnsi="GHEA Grapalat"/>
          <w:sz w:val="22"/>
          <w:szCs w:val="22"/>
        </w:rPr>
        <w:t xml:space="preserve">։ Հաշվետու </w:t>
      </w:r>
      <w:r w:rsidR="00D43E19" w:rsidRPr="000C67FA">
        <w:rPr>
          <w:rFonts w:ascii="GHEA Grapalat" w:hAnsi="GHEA Grapalat"/>
          <w:sz w:val="22"/>
          <w:szCs w:val="22"/>
        </w:rPr>
        <w:t>տար</w:t>
      </w:r>
      <w:r w:rsidRPr="00345A1C">
        <w:rPr>
          <w:rFonts w:ascii="GHEA Grapalat" w:hAnsi="GHEA Grapalat"/>
          <w:sz w:val="22"/>
          <w:szCs w:val="22"/>
        </w:rPr>
        <w:t>ում արձանագրվել են դոլարային արտահայտությամբ արտահանման և ներմուծման երկնիշ աճեր. արտահանումն աճել է 53.1%</w:t>
      </w:r>
      <w:r w:rsidR="00313C39" w:rsidRPr="008040E9">
        <w:rPr>
          <w:rFonts w:ascii="GHEA Grapalat" w:hAnsi="GHEA Grapalat"/>
          <w:sz w:val="22"/>
          <w:szCs w:val="22"/>
        </w:rPr>
        <w:t>-ով</w:t>
      </w:r>
      <w:r w:rsidR="00313C39">
        <w:rPr>
          <w:rFonts w:ascii="GHEA Grapalat" w:hAnsi="GHEA Grapalat"/>
          <w:sz w:val="22"/>
          <w:szCs w:val="22"/>
        </w:rPr>
        <w:t>` կազմելով 13,092</w:t>
      </w:r>
      <w:r w:rsidRPr="00345A1C">
        <w:rPr>
          <w:rFonts w:ascii="GHEA Grapalat" w:hAnsi="GHEA Grapalat"/>
          <w:sz w:val="22"/>
          <w:szCs w:val="22"/>
        </w:rPr>
        <w:t xml:space="preserve"> մլն ԱՄՆ դոլար, իսկ ներմուծումը` 33.8%-ով՝ կազմել</w:t>
      </w:r>
      <w:r w:rsidR="00CA6DDB">
        <w:rPr>
          <w:rFonts w:ascii="GHEA Grapalat" w:hAnsi="GHEA Grapalat"/>
          <w:sz w:val="22"/>
          <w:szCs w:val="22"/>
        </w:rPr>
        <w:t>ով 17,066 մլն ԱՄՆ դոլար: 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ապրանքների գծով արտաքին առևտրի բացասական մնացորդը նախորդ տարվա նկատմամբ բարելավ</w:t>
      </w:r>
      <w:r w:rsidR="00313C39">
        <w:rPr>
          <w:rFonts w:ascii="GHEA Grapalat" w:hAnsi="GHEA Grapalat"/>
          <w:sz w:val="22"/>
          <w:szCs w:val="22"/>
        </w:rPr>
        <w:t>վել է (5.5%-ով) և կազմել -3,975</w:t>
      </w:r>
      <w:r w:rsidRPr="00345A1C">
        <w:rPr>
          <w:rFonts w:ascii="GHEA Grapalat" w:hAnsi="GHEA Grapalat"/>
          <w:sz w:val="22"/>
          <w:szCs w:val="22"/>
        </w:rPr>
        <w:t xml:space="preserve"> մլն ԱՄՆ դոլար:</w:t>
      </w:r>
    </w:p>
    <w:tbl>
      <w:tblPr>
        <w:tblW w:w="10748" w:type="dxa"/>
        <w:tblInd w:w="-318" w:type="dxa"/>
        <w:tblLook w:val="04A0" w:firstRow="1" w:lastRow="0" w:firstColumn="1" w:lastColumn="0" w:noHBand="0" w:noVBand="1"/>
      </w:tblPr>
      <w:tblGrid>
        <w:gridCol w:w="10740"/>
        <w:gridCol w:w="222"/>
      </w:tblGrid>
      <w:tr w:rsidR="00927AC7" w:rsidRPr="00345A1C" w14:paraId="7B19AB5C" w14:textId="77777777" w:rsidTr="000501AA">
        <w:trPr>
          <w:trHeight w:val="6328"/>
        </w:trPr>
        <w:tc>
          <w:tcPr>
            <w:tcW w:w="10526" w:type="dxa"/>
            <w:shd w:val="clear" w:color="auto" w:fill="auto"/>
          </w:tcPr>
          <w:tbl>
            <w:tblPr>
              <w:tblW w:w="10524" w:type="dxa"/>
              <w:tblLook w:val="04A0" w:firstRow="1" w:lastRow="0" w:firstColumn="1" w:lastColumn="0" w:noHBand="0" w:noVBand="1"/>
            </w:tblPr>
            <w:tblGrid>
              <w:gridCol w:w="5226"/>
              <w:gridCol w:w="5298"/>
            </w:tblGrid>
            <w:tr w:rsidR="00927AC7" w:rsidRPr="00345A1C" w14:paraId="22D673C3" w14:textId="77777777" w:rsidTr="000501AA">
              <w:trPr>
                <w:trHeight w:val="6328"/>
              </w:trPr>
              <w:tc>
                <w:tcPr>
                  <w:tcW w:w="5152" w:type="dxa"/>
                  <w:shd w:val="clear" w:color="auto" w:fill="auto"/>
                </w:tcPr>
                <w:p w14:paraId="775879D4" w14:textId="25E89499" w:rsidR="00927AC7" w:rsidRPr="00CA6DDB" w:rsidRDefault="00927AC7" w:rsidP="00DE0E91">
                  <w:pPr>
                    <w:pStyle w:val="ab"/>
                  </w:pPr>
                  <w:r w:rsidRPr="00CA6DDB">
                    <w:lastRenderedPageBreak/>
                    <w:t>Գծապատկեր 19. Ընթացիկ հաշվի և դրա բաղադրատարրերի դինամիկան, % ՀՆԱ-ում</w:t>
                  </w:r>
                </w:p>
                <w:p w14:paraId="1AD83166" w14:textId="77777777" w:rsidR="007459F1" w:rsidRPr="00345A1C" w:rsidRDefault="007459F1" w:rsidP="00DE0E91">
                  <w:pPr>
                    <w:pStyle w:val="ab"/>
                  </w:pPr>
                </w:p>
                <w:p w14:paraId="1846C199" w14:textId="6E3CCDAE" w:rsidR="00927AC7" w:rsidRPr="00313C39" w:rsidRDefault="00927AC7" w:rsidP="00DE0E91">
                  <w:pPr>
                    <w:pStyle w:val="ab"/>
                    <w:rPr>
                      <w:b w:val="0"/>
                      <w:i/>
                      <w:sz w:val="16"/>
                      <w:szCs w:val="16"/>
                    </w:rPr>
                  </w:pPr>
                  <w:r w:rsidRPr="00575C6C">
                    <w:rPr>
                      <w:noProof/>
                      <w:lang w:val="en-US"/>
                    </w:rPr>
                    <w:drawing>
                      <wp:inline distT="0" distB="0" distL="0" distR="0" wp14:anchorId="69E8F903" wp14:editId="0EA9BF6B">
                        <wp:extent cx="2983865" cy="2476500"/>
                        <wp:effectExtent l="0" t="0" r="6985" b="0"/>
                        <wp:docPr id="2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13C39">
                    <w:rPr>
                      <w:b w:val="0"/>
                      <w:i/>
                      <w:sz w:val="16"/>
                      <w:szCs w:val="16"/>
                    </w:rPr>
                    <w:t>Աղբյուրը՝ ՀՀ ՎԿ, ՀՀ ՖՆ հաշվարկներ</w:t>
                  </w:r>
                </w:p>
                <w:p w14:paraId="2DAB7004" w14:textId="77777777" w:rsidR="007459F1" w:rsidRPr="00345A1C" w:rsidRDefault="007459F1" w:rsidP="00DE0E91">
                  <w:pPr>
                    <w:pStyle w:val="ab"/>
                  </w:pPr>
                </w:p>
                <w:p w14:paraId="6D7DD462" w14:textId="5755C831" w:rsidR="00927AC7" w:rsidRPr="00345A1C" w:rsidRDefault="00927AC7" w:rsidP="00DE0E91">
                  <w:pPr>
                    <w:pStyle w:val="ab"/>
                  </w:pPr>
                  <w:r w:rsidRPr="00345A1C">
                    <w:t>Գծապատկեր 21. Ծառայությունների արտահանում, ներմուծում և հաշվեկշիռ դինամիկան, մլն ԱՄՆ դոլար</w:t>
                  </w:r>
                </w:p>
                <w:p w14:paraId="0F49B096" w14:textId="77777777" w:rsidR="00927AC7" w:rsidRPr="00345A1C" w:rsidRDefault="00927AC7" w:rsidP="00A32D2B">
                  <w:pPr>
                    <w:keepNext/>
                    <w:spacing w:line="276" w:lineRule="auto"/>
                    <w:rPr>
                      <w:rFonts w:ascii="GHEA Grapalat" w:eastAsia="GHEA Grapalat" w:hAnsi="GHEA Grapalat" w:cs="GHEA Grapalat"/>
                      <w:b/>
                      <w:i/>
                      <w:sz w:val="20"/>
                      <w:szCs w:val="20"/>
                    </w:rPr>
                  </w:pPr>
                  <w:r w:rsidRPr="00345A1C">
                    <w:rPr>
                      <w:rFonts w:ascii="GHEA Grapalat" w:hAnsi="GHEA Grapalat"/>
                      <w:sz w:val="22"/>
                      <w:szCs w:val="22"/>
                      <w:lang w:val="en-US"/>
                    </w:rPr>
                    <w:drawing>
                      <wp:inline distT="0" distB="0" distL="0" distR="0" wp14:anchorId="58388BAF" wp14:editId="48610B8B">
                        <wp:extent cx="3181350" cy="2162175"/>
                        <wp:effectExtent l="0" t="0" r="0" b="9525"/>
                        <wp:docPr id="24"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9081D12" w14:textId="77777777" w:rsidR="00927AC7" w:rsidRPr="00345A1C" w:rsidRDefault="00927AC7" w:rsidP="00A32D2B">
                  <w:pPr>
                    <w:keepNext/>
                    <w:spacing w:line="276" w:lineRule="auto"/>
                    <w:rPr>
                      <w:rFonts w:ascii="GHEA Grapalat" w:eastAsia="GHEA Grapalat" w:hAnsi="GHEA Grapalat" w:cs="GHEA Grapalat"/>
                      <w:b/>
                      <w:i/>
                      <w:sz w:val="16"/>
                      <w:szCs w:val="16"/>
                    </w:rPr>
                  </w:pPr>
                  <w:r w:rsidRPr="00345A1C">
                    <w:rPr>
                      <w:rFonts w:ascii="GHEA Grapalat" w:eastAsia="GHEA Grapalat" w:hAnsi="GHEA Grapalat" w:cs="GHEA Grapalat"/>
                      <w:i/>
                      <w:noProof w:val="0"/>
                      <w:sz w:val="16"/>
                      <w:szCs w:val="16"/>
                    </w:rPr>
                    <w:t>Աղբյուրը՝ ՀՀ ՎԿ, ՀՀ ՖՆ հաշվարկներ</w:t>
                  </w:r>
                </w:p>
              </w:tc>
              <w:tc>
                <w:tcPr>
                  <w:tcW w:w="5372" w:type="dxa"/>
                  <w:shd w:val="clear" w:color="auto" w:fill="auto"/>
                </w:tcPr>
                <w:p w14:paraId="67500651" w14:textId="22F3829F" w:rsidR="00927AC7" w:rsidRPr="00313C39" w:rsidRDefault="00927AC7" w:rsidP="00DE0E91">
                  <w:pPr>
                    <w:pStyle w:val="ab"/>
                    <w:rPr>
                      <w:b w:val="0"/>
                      <w:i/>
                      <w:sz w:val="16"/>
                      <w:szCs w:val="16"/>
                    </w:rPr>
                  </w:pPr>
                  <w:r w:rsidRPr="00345A1C">
                    <w:t>Գծապատկեր 20. Ապրանքների արտահանման, ներմուծման և առևտրային հաշվի դինամիկան, մլն ԱՄՆ դոլար</w:t>
                  </w:r>
                  <w:r w:rsidRPr="00575C6C">
                    <w:rPr>
                      <w:noProof/>
                      <w:lang w:val="en-US"/>
                    </w:rPr>
                    <w:drawing>
                      <wp:inline distT="0" distB="0" distL="0" distR="0" wp14:anchorId="7C168A55" wp14:editId="346C2D42">
                        <wp:extent cx="3181350" cy="2486025"/>
                        <wp:effectExtent l="0" t="0" r="0" b="9525"/>
                        <wp:docPr id="25"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345A1C">
                    <w:rPr>
                      <w:bCs/>
                    </w:rPr>
                    <w:t xml:space="preserve"> </w:t>
                  </w:r>
                  <w:r w:rsidRPr="00313C39">
                    <w:rPr>
                      <w:b w:val="0"/>
                      <w:i/>
                      <w:sz w:val="16"/>
                      <w:szCs w:val="16"/>
                    </w:rPr>
                    <w:t>Աղբյուրը՝ ՀՀ ՎԿ, ՀՀ ՖՆ հաշվարկներ</w:t>
                  </w:r>
                </w:p>
                <w:p w14:paraId="6B074989" w14:textId="77777777" w:rsidR="007459F1" w:rsidRPr="00345A1C" w:rsidRDefault="007459F1" w:rsidP="00DE0E91">
                  <w:pPr>
                    <w:pStyle w:val="ab"/>
                  </w:pPr>
                </w:p>
                <w:p w14:paraId="38FF4F53" w14:textId="790F381B" w:rsidR="00DE0E91" w:rsidRPr="00345A1C" w:rsidRDefault="00927AC7" w:rsidP="00DE0E91">
                  <w:pPr>
                    <w:pStyle w:val="ab"/>
                  </w:pPr>
                  <w:r w:rsidRPr="00345A1C">
                    <w:t>Գծապատկեր 22. Զուտ դրամական փոխանցումների դինամիկան, մլն ԱՄՆ դոլար</w:t>
                  </w:r>
                </w:p>
                <w:p w14:paraId="5693CF02" w14:textId="5864D091" w:rsidR="00927AC7" w:rsidRPr="00345A1C" w:rsidRDefault="007459F1" w:rsidP="00DE0E91">
                  <w:pPr>
                    <w:pStyle w:val="ab"/>
                  </w:pPr>
                  <w:r w:rsidRPr="00575C6C">
                    <w:rPr>
                      <w:noProof/>
                      <w:lang w:val="en-US"/>
                    </w:rPr>
                    <w:drawing>
                      <wp:inline distT="0" distB="0" distL="0" distR="0" wp14:anchorId="2EA22797" wp14:editId="2F15198D">
                        <wp:extent cx="3181350" cy="2160397"/>
                        <wp:effectExtent l="0" t="0" r="0" b="11430"/>
                        <wp:docPr id="26"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1A6B0B8" w14:textId="77777777" w:rsidR="00927AC7" w:rsidRPr="00345A1C" w:rsidRDefault="00927AC7" w:rsidP="007459F1">
                  <w:pPr>
                    <w:keepNext/>
                    <w:rPr>
                      <w:rFonts w:ascii="GHEA Grapalat" w:eastAsia="GHEA Grapalat" w:hAnsi="GHEA Grapalat" w:cs="GHEA Grapalat"/>
                      <w:i/>
                      <w:sz w:val="16"/>
                      <w:szCs w:val="16"/>
                    </w:rPr>
                  </w:pPr>
                  <w:r w:rsidRPr="00345A1C">
                    <w:rPr>
                      <w:rFonts w:ascii="GHEA Grapalat" w:eastAsia="GHEA Grapalat" w:hAnsi="GHEA Grapalat" w:cs="GHEA Grapalat"/>
                      <w:i/>
                      <w:noProof w:val="0"/>
                      <w:sz w:val="16"/>
                      <w:szCs w:val="16"/>
                    </w:rPr>
                    <w:t>Աղբյուրը՝ ՀՀ ՎԿ, ՀՀ ՖՆ հաշվարկներ</w:t>
                  </w:r>
                </w:p>
              </w:tc>
            </w:tr>
          </w:tbl>
          <w:p w14:paraId="1823CF7E" w14:textId="77777777" w:rsidR="00927AC7" w:rsidRPr="00345A1C" w:rsidRDefault="00927AC7" w:rsidP="00A32D2B">
            <w:pPr>
              <w:keepNext/>
              <w:spacing w:line="276" w:lineRule="auto"/>
              <w:rPr>
                <w:rFonts w:ascii="GHEA Grapalat" w:eastAsia="GHEA Grapalat" w:hAnsi="GHEA Grapalat" w:cs="GHEA Grapalat"/>
                <w:b/>
                <w:i/>
                <w:sz w:val="22"/>
                <w:szCs w:val="22"/>
              </w:rPr>
            </w:pPr>
          </w:p>
        </w:tc>
        <w:tc>
          <w:tcPr>
            <w:tcW w:w="222" w:type="dxa"/>
            <w:shd w:val="clear" w:color="auto" w:fill="auto"/>
          </w:tcPr>
          <w:p w14:paraId="30DBCB79" w14:textId="77777777" w:rsidR="00927AC7" w:rsidRPr="00345A1C" w:rsidRDefault="00927AC7" w:rsidP="00A32D2B">
            <w:pPr>
              <w:keepNext/>
              <w:spacing w:line="276" w:lineRule="auto"/>
              <w:rPr>
                <w:rFonts w:ascii="GHEA Grapalat" w:eastAsia="GHEA Grapalat" w:hAnsi="GHEA Grapalat" w:cs="GHEA Grapalat"/>
                <w:i/>
                <w:sz w:val="16"/>
                <w:szCs w:val="16"/>
              </w:rPr>
            </w:pPr>
          </w:p>
        </w:tc>
      </w:tr>
    </w:tbl>
    <w:p w14:paraId="22CFD06D" w14:textId="77777777" w:rsidR="00927AC7" w:rsidRPr="00345A1C" w:rsidRDefault="00927AC7" w:rsidP="00A32D2B">
      <w:pPr>
        <w:spacing w:line="276" w:lineRule="auto"/>
        <w:ind w:firstLine="567"/>
        <w:jc w:val="both"/>
        <w:rPr>
          <w:rFonts w:ascii="GHEA Grapalat" w:hAnsi="GHEA Grapalat"/>
          <w:sz w:val="22"/>
          <w:szCs w:val="22"/>
        </w:rPr>
      </w:pPr>
    </w:p>
    <w:p w14:paraId="197B9D92" w14:textId="08561D60" w:rsidR="00927AC7" w:rsidRPr="00345A1C" w:rsidRDefault="00927AC7" w:rsidP="00A32D2B">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Արտահանում:</w:t>
      </w:r>
      <w:r w:rsidRPr="00345A1C">
        <w:rPr>
          <w:rFonts w:ascii="GHEA Grapalat" w:eastAsia="GHEA Grapalat" w:hAnsi="GHEA Grapalat" w:cs="GHEA Grapalat"/>
          <w:sz w:val="22"/>
          <w:szCs w:val="22"/>
        </w:rPr>
        <w:t xml:space="preserve"> </w:t>
      </w:r>
      <w:r w:rsidR="0025536A" w:rsidRPr="00313C39">
        <w:rPr>
          <w:rFonts w:ascii="GHEA Grapalat" w:hAnsi="GHEA Grapalat"/>
          <w:sz w:val="22"/>
          <w:szCs w:val="22"/>
        </w:rPr>
        <w:t>2024</w:t>
      </w:r>
      <w:r w:rsidRPr="00313C39">
        <w:rPr>
          <w:rFonts w:ascii="GHEA Grapalat" w:hAnsi="GHEA Grapalat"/>
          <w:sz w:val="22"/>
          <w:szCs w:val="22"/>
        </w:rPr>
        <w:t>թ</w:t>
      </w:r>
      <w:r w:rsidR="0025536A" w:rsidRPr="00313C39">
        <w:rPr>
          <w:rFonts w:ascii="GHEA Grapalat" w:hAnsi="GHEA Grapalat"/>
          <w:sz w:val="22"/>
          <w:szCs w:val="22"/>
        </w:rPr>
        <w:t>.</w:t>
      </w:r>
      <w:r w:rsidRPr="00313C39">
        <w:rPr>
          <w:rFonts w:ascii="GHEA Grapalat" w:hAnsi="GHEA Grapalat"/>
          <w:sz w:val="22"/>
          <w:szCs w:val="22"/>
        </w:rPr>
        <w:t xml:space="preserve"> ապրանքների արտահանումն աճել է 53.1%</w:t>
      </w:r>
      <w:r w:rsidR="00313C39" w:rsidRPr="008040E9">
        <w:rPr>
          <w:rFonts w:ascii="GHEA Grapalat" w:hAnsi="GHEA Grapalat"/>
          <w:sz w:val="22"/>
          <w:szCs w:val="22"/>
        </w:rPr>
        <w:t>-ով</w:t>
      </w:r>
      <w:r w:rsidRPr="00313C39">
        <w:rPr>
          <w:rFonts w:ascii="GHEA Grapalat" w:hAnsi="GHEA Grapalat"/>
          <w:sz w:val="22"/>
          <w:szCs w:val="22"/>
        </w:rPr>
        <w:t>՝ պայմանավորված հիմնականում վերաարտահանման (հատկապես՝ դեպի ԱՄԷ) բարձր ծավալներով։</w:t>
      </w:r>
      <w:r w:rsidRPr="00345A1C">
        <w:rPr>
          <w:rFonts w:ascii="GHEA Grapalat" w:hAnsi="GHEA Grapalat"/>
          <w:sz w:val="22"/>
          <w:szCs w:val="22"/>
        </w:rPr>
        <w:t xml:space="preserve"> Սակայն մայիս ամսից սկսած արտահանման աճի տեմպերը կտրուկ դանդաղել են՝ հիմնականում պայմանավորված ոսկու վերաարտահանման ծավալների կտրուկ կրճատմամբ: Իսկ նոյեմբեր-դեկտեմբեր ամիսներին արձանագրվել է ապրանքների արտահանման կտրուկ անկում</w:t>
      </w:r>
      <w:r w:rsidR="00C57C4F" w:rsidRPr="00345A1C">
        <w:rPr>
          <w:rFonts w:ascii="GHEA Grapalat" w:hAnsi="GHEA Grapalat"/>
          <w:sz w:val="22"/>
          <w:szCs w:val="22"/>
        </w:rPr>
        <w:t xml:space="preserve"> (տե՛ս Գծապատկեր 23)</w:t>
      </w:r>
      <w:r w:rsidRPr="00345A1C">
        <w:rPr>
          <w:rFonts w:ascii="GHEA Grapalat" w:hAnsi="GHEA Grapalat"/>
          <w:sz w:val="22"/>
          <w:szCs w:val="22"/>
        </w:rPr>
        <w:t xml:space="preserve">, որը պայմանավորված էր ոսկու վերաարտահանման ծավալների նվազման և </w:t>
      </w:r>
      <w:r w:rsidRPr="00345A1C">
        <w:rPr>
          <w:rFonts w:ascii="GHEA Grapalat" w:eastAsia="GHEA Grapalat" w:hAnsi="GHEA Grapalat" w:cs="GHEA Grapalat"/>
          <w:noProof w:val="0"/>
          <w:sz w:val="22"/>
          <w:szCs w:val="22"/>
        </w:rPr>
        <w:t>նախորդ տարվա բարձր աճի բազայով</w:t>
      </w:r>
      <w:r w:rsidRPr="00345A1C">
        <w:rPr>
          <w:rFonts w:ascii="GHEA Grapalat" w:hAnsi="GHEA Grapalat"/>
          <w:sz w:val="22"/>
          <w:szCs w:val="22"/>
        </w:rPr>
        <w:t>:</w:t>
      </w:r>
    </w:p>
    <w:p w14:paraId="3658B7D1" w14:textId="1E5CADEE" w:rsidR="00927AC7" w:rsidRPr="00345A1C" w:rsidRDefault="00927AC7" w:rsidP="00A32D2B">
      <w:pPr>
        <w:spacing w:line="276" w:lineRule="auto"/>
        <w:ind w:firstLine="540"/>
        <w:jc w:val="both"/>
        <w:rPr>
          <w:rFonts w:ascii="GHEA Grapalat" w:eastAsia="GHEA Grapalat" w:hAnsi="GHEA Grapalat" w:cs="GHEA Grapalat"/>
          <w:sz w:val="22"/>
          <w:szCs w:val="22"/>
        </w:rPr>
      </w:pPr>
      <w:r w:rsidRPr="00345A1C">
        <w:rPr>
          <w:rFonts w:ascii="GHEA Grapalat" w:hAnsi="GHEA Grapalat"/>
          <w:sz w:val="22"/>
          <w:szCs w:val="22"/>
        </w:rPr>
        <w:t xml:space="preserve">Արտահանման </w:t>
      </w:r>
      <w:r w:rsidRPr="00D049B8">
        <w:rPr>
          <w:rFonts w:ascii="GHEA Grapalat" w:hAnsi="GHEA Grapalat"/>
          <w:sz w:val="22"/>
          <w:szCs w:val="22"/>
        </w:rPr>
        <w:t xml:space="preserve">53.1% </w:t>
      </w:r>
      <w:r w:rsidRPr="00345A1C">
        <w:rPr>
          <w:rFonts w:ascii="GHEA Grapalat" w:hAnsi="GHEA Grapalat"/>
          <w:sz w:val="22"/>
          <w:szCs w:val="22"/>
        </w:rPr>
        <w:t>երկնիշ աճին 46 տ</w:t>
      </w:r>
      <w:r w:rsidR="0047715D">
        <w:rPr>
          <w:rFonts w:ascii="GHEA Grapalat" w:hAnsi="GHEA Grapalat"/>
          <w:sz w:val="22"/>
          <w:szCs w:val="22"/>
        </w:rPr>
        <w:t>ո</w:t>
      </w:r>
      <w:r w:rsidR="00C64F0C">
        <w:rPr>
          <w:rFonts w:ascii="GHEA Grapalat" w:hAnsi="GHEA Grapalat"/>
          <w:sz w:val="22"/>
          <w:szCs w:val="22"/>
        </w:rPr>
        <w:t>կո</w:t>
      </w:r>
      <w:r w:rsidRPr="00345A1C">
        <w:rPr>
          <w:rFonts w:ascii="GHEA Grapalat" w:hAnsi="GHEA Grapalat"/>
          <w:sz w:val="22"/>
          <w:szCs w:val="22"/>
        </w:rPr>
        <w:t>սային կետով դրական նպ</w:t>
      </w:r>
      <w:r w:rsidR="00D049B8" w:rsidRPr="008040E9">
        <w:rPr>
          <w:rFonts w:ascii="GHEA Grapalat" w:hAnsi="GHEA Grapalat"/>
          <w:sz w:val="22"/>
          <w:szCs w:val="22"/>
        </w:rPr>
        <w:t>ա</w:t>
      </w:r>
      <w:r w:rsidRPr="00345A1C">
        <w:rPr>
          <w:rFonts w:ascii="GHEA Grapalat" w:hAnsi="GHEA Grapalat"/>
          <w:sz w:val="22"/>
          <w:szCs w:val="22"/>
        </w:rPr>
        <w:t xml:space="preserve">ստում է ունեցել արտահանման իրական ծավալների աճը: </w:t>
      </w:r>
      <w:r w:rsidRPr="00D049B8">
        <w:rPr>
          <w:rFonts w:ascii="GHEA Grapalat" w:hAnsi="GHEA Grapalat"/>
          <w:sz w:val="22"/>
          <w:szCs w:val="22"/>
        </w:rPr>
        <w:t>Արտահանման</w:t>
      </w:r>
      <w:r w:rsidRPr="00345A1C">
        <w:rPr>
          <w:rFonts w:ascii="GHEA Grapalat" w:eastAsia="GHEA Grapalat" w:hAnsi="GHEA Grapalat" w:cs="GHEA Grapalat"/>
          <w:sz w:val="22"/>
          <w:szCs w:val="22"/>
        </w:rPr>
        <w:t xml:space="preserve"> աճին ամենամեծ դրական նպաստումն է ուն</w:t>
      </w:r>
      <w:r w:rsidR="00D049B8" w:rsidRPr="008040E9">
        <w:rPr>
          <w:rFonts w:ascii="GHEA Grapalat" w:eastAsia="GHEA Grapalat" w:hAnsi="GHEA Grapalat" w:cs="GHEA Grapalat"/>
          <w:sz w:val="22"/>
          <w:szCs w:val="22"/>
        </w:rPr>
        <w:t>ե</w:t>
      </w:r>
      <w:r w:rsidRPr="00345A1C">
        <w:rPr>
          <w:rFonts w:ascii="GHEA Grapalat" w:eastAsia="GHEA Grapalat" w:hAnsi="GHEA Grapalat" w:cs="GHEA Grapalat"/>
          <w:sz w:val="22"/>
          <w:szCs w:val="22"/>
        </w:rPr>
        <w:t>ցել «Թանկարժեք և կիսաթանկարժեք քարեր, թանկարժեք մետաղներ և դրանցից իրեր» (56.4 տոկոսային կետ) ապրանքախումբը (հիմնականում՝ «</w:t>
      </w:r>
      <w:r w:rsidR="00D049B8" w:rsidRPr="008040E9">
        <w:rPr>
          <w:rFonts w:ascii="GHEA Grapalat" w:eastAsia="GHEA Grapalat" w:hAnsi="GHEA Grapalat" w:cs="GHEA Grapalat"/>
          <w:sz w:val="22"/>
          <w:szCs w:val="22"/>
        </w:rPr>
        <w:t>Ո</w:t>
      </w:r>
      <w:r w:rsidRPr="00345A1C">
        <w:rPr>
          <w:rFonts w:ascii="GHEA Grapalat" w:eastAsia="GHEA Grapalat" w:hAnsi="GHEA Grapalat" w:cs="GHEA Grapalat"/>
          <w:sz w:val="22"/>
          <w:szCs w:val="22"/>
        </w:rPr>
        <w:t>սկի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w:t>
      </w:r>
      <w:r w:rsidR="00D049B8" w:rsidRPr="008040E9">
        <w:rPr>
          <w:rFonts w:ascii="GHEA Grapalat" w:eastAsia="GHEA Grapalat" w:hAnsi="GHEA Grapalat" w:cs="GHEA Grapalat"/>
          <w:sz w:val="22"/>
          <w:szCs w:val="22"/>
        </w:rPr>
        <w:t>Ո</w:t>
      </w:r>
      <w:r w:rsidRPr="00345A1C">
        <w:rPr>
          <w:rFonts w:ascii="GHEA Grapalat" w:eastAsia="GHEA Grapalat" w:hAnsi="GHEA Grapalat" w:cs="GHEA Grapalat"/>
          <w:sz w:val="22"/>
          <w:szCs w:val="22"/>
        </w:rPr>
        <w:t>սկերչական իրեր», «Պլատին անմշակ կամ կիսամշակ, փոշի» և «Արծաթ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 xml:space="preserve">ապրանքախմբերը)՝ </w:t>
      </w:r>
      <w:r w:rsidR="00C57C4F" w:rsidRPr="00345A1C">
        <w:rPr>
          <w:rFonts w:ascii="GHEA Grapalat" w:eastAsia="GHEA Grapalat" w:hAnsi="GHEA Grapalat" w:cs="GHEA Grapalat"/>
          <w:sz w:val="22"/>
          <w:szCs w:val="22"/>
        </w:rPr>
        <w:t xml:space="preserve">պայմանավորված </w:t>
      </w:r>
      <w:r w:rsidRPr="00345A1C">
        <w:rPr>
          <w:rFonts w:ascii="GHEA Grapalat" w:eastAsia="GHEA Grapalat" w:hAnsi="GHEA Grapalat" w:cs="GHEA Grapalat"/>
          <w:sz w:val="22"/>
          <w:szCs w:val="22"/>
        </w:rPr>
        <w:t xml:space="preserve">վերաարտահանման գործոնով: Արտահանման աճին </w:t>
      </w:r>
      <w:r w:rsidRPr="00345A1C">
        <w:rPr>
          <w:rFonts w:ascii="GHEA Grapalat" w:eastAsia="GHEA Grapalat" w:hAnsi="GHEA Grapalat" w:cs="GHEA Grapalat"/>
          <w:sz w:val="22"/>
          <w:szCs w:val="22"/>
        </w:rPr>
        <w:lastRenderedPageBreak/>
        <w:t xml:space="preserve">դրական նպաստում են ունեցել նաև «Հանքահումքային </w:t>
      </w:r>
      <w:r w:rsidR="00D049B8">
        <w:rPr>
          <w:rFonts w:ascii="GHEA Grapalat" w:eastAsia="GHEA Grapalat" w:hAnsi="GHEA Grapalat" w:cs="GHEA Grapalat"/>
          <w:sz w:val="22"/>
          <w:szCs w:val="22"/>
        </w:rPr>
        <w:t>արտադրանք</w:t>
      </w:r>
      <w:r w:rsidRPr="00345A1C">
        <w:rPr>
          <w:rFonts w:ascii="GHEA Grapalat" w:eastAsia="GHEA Grapalat" w:hAnsi="GHEA Grapalat" w:cs="GHEA Grapalat"/>
          <w:sz w:val="22"/>
          <w:szCs w:val="22"/>
        </w:rPr>
        <w:t xml:space="preserve">» (1.6 տոկոսային կետով), «Պատրաստի սննդի արտադրանք» (0.7 տոկոսային կետով) և «Բուսական ծագման արտադրանք» (0.6 տոկոսային կետով) ապրանքախմբերը: </w:t>
      </w:r>
    </w:p>
    <w:p w14:paraId="0490953C" w14:textId="71A69A6E" w:rsidR="00927AC7" w:rsidRDefault="00927AC7" w:rsidP="00A32D2B">
      <w:pPr>
        <w:spacing w:line="276" w:lineRule="auto"/>
        <w:ind w:firstLine="540"/>
        <w:jc w:val="both"/>
        <w:rPr>
          <w:rFonts w:ascii="GHEA Grapalat" w:eastAsia="GHEA Grapalat" w:hAnsi="GHEA Grapalat" w:cs="GHEA Grapalat"/>
          <w:sz w:val="22"/>
          <w:szCs w:val="22"/>
        </w:rPr>
      </w:pPr>
      <w:r w:rsidRPr="00345A1C">
        <w:rPr>
          <w:rFonts w:ascii="GHEA Grapalat" w:eastAsia="GHEA Grapalat" w:hAnsi="GHEA Grapalat" w:cs="GHEA Grapalat"/>
          <w:sz w:val="22"/>
          <w:szCs w:val="22"/>
        </w:rPr>
        <w:t>Ամենամեծ բացասական նպաստումն են ունեցել են՝ «Տրանսպորտային միջոցներն» (5.2 տոկոսային կետով), «Ոչ թանկարժեք մետաղներ և իրեր դրանցից» (1.1 տոկոսային կետ), «Մեքենաներ և սարքավորումներ» (0</w:t>
      </w:r>
      <w:r w:rsidRPr="00345A1C">
        <w:rPr>
          <w:rFonts w:ascii="Cambria Math" w:eastAsia="GHEA Grapalat" w:hAnsi="Cambria Math" w:cs="Cambria Math"/>
          <w:sz w:val="22"/>
          <w:szCs w:val="22"/>
        </w:rPr>
        <w:t>․</w:t>
      </w:r>
      <w:r w:rsidRPr="00345A1C">
        <w:rPr>
          <w:rFonts w:ascii="GHEA Grapalat" w:eastAsia="GHEA Grapalat" w:hAnsi="GHEA Grapalat" w:cs="GHEA Grapalat"/>
          <w:sz w:val="22"/>
          <w:szCs w:val="22"/>
        </w:rPr>
        <w:t xml:space="preserve">5 տոկոսային կետ) ապրանքախմբերը: </w:t>
      </w:r>
    </w:p>
    <w:p w14:paraId="1F7F5A3C" w14:textId="77777777" w:rsidR="00B55BEA" w:rsidRPr="00345A1C" w:rsidRDefault="00B55BEA" w:rsidP="00A32D2B">
      <w:pPr>
        <w:spacing w:line="276" w:lineRule="auto"/>
        <w:ind w:firstLine="540"/>
        <w:jc w:val="both"/>
        <w:rPr>
          <w:rFonts w:ascii="GHEA Grapalat" w:eastAsia="GHEA Grapalat" w:hAnsi="GHEA Grapalat" w:cs="GHEA Grapalat"/>
          <w:sz w:val="22"/>
          <w:szCs w:val="22"/>
        </w:rPr>
      </w:pPr>
    </w:p>
    <w:p w14:paraId="39B9DD23" w14:textId="62BC4543" w:rsidR="00927AC7" w:rsidRPr="0025536A" w:rsidRDefault="00927AC7" w:rsidP="00B55BEA">
      <w:pPr>
        <w:spacing w:line="276" w:lineRule="auto"/>
        <w:jc w:val="both"/>
        <w:rPr>
          <w:rFonts w:ascii="GHEA Grapalat" w:hAnsi="GHEA Grapalat"/>
          <w:b/>
          <w:sz w:val="18"/>
          <w:szCs w:val="18"/>
        </w:rPr>
      </w:pPr>
      <w:r w:rsidRPr="0025536A">
        <w:rPr>
          <w:rFonts w:ascii="GHEA Grapalat" w:eastAsia="GHEA Grapalat" w:hAnsi="GHEA Grapalat" w:cs="GHEA Grapalat"/>
          <w:b/>
          <w:sz w:val="18"/>
          <w:szCs w:val="18"/>
        </w:rPr>
        <w:t xml:space="preserve">Գծապատկեր 23. </w:t>
      </w:r>
      <w:r w:rsidRPr="0025536A">
        <w:rPr>
          <w:rFonts w:ascii="GHEA Grapalat" w:hAnsi="GHEA Grapalat"/>
          <w:b/>
          <w:sz w:val="18"/>
          <w:szCs w:val="18"/>
        </w:rPr>
        <w:t>Ապրանքների արտ</w:t>
      </w:r>
      <w:r w:rsidR="0025536A" w:rsidRPr="0025536A">
        <w:rPr>
          <w:rFonts w:ascii="GHEA Grapalat" w:hAnsi="GHEA Grapalat"/>
          <w:b/>
          <w:sz w:val="18"/>
          <w:szCs w:val="18"/>
        </w:rPr>
        <w:t>ահանման ամսական միտումները 2024</w:t>
      </w:r>
      <w:r w:rsidRPr="0025536A">
        <w:rPr>
          <w:rFonts w:ascii="GHEA Grapalat" w:hAnsi="GHEA Grapalat"/>
          <w:b/>
          <w:sz w:val="18"/>
          <w:szCs w:val="18"/>
        </w:rPr>
        <w:t>թ</w:t>
      </w:r>
      <w:r w:rsidR="00386099" w:rsidRPr="0025536A">
        <w:rPr>
          <w:rFonts w:ascii="GHEA Grapalat" w:hAnsi="GHEA Grapalat"/>
          <w:b/>
          <w:sz w:val="18"/>
          <w:szCs w:val="18"/>
        </w:rPr>
        <w:t>, %</w:t>
      </w:r>
    </w:p>
    <w:p w14:paraId="2A65665A" w14:textId="77777777" w:rsidR="00927AC7" w:rsidRPr="00345A1C" w:rsidRDefault="00927AC7" w:rsidP="00B55BEA">
      <w:pPr>
        <w:keepNext/>
        <w:spacing w:line="276" w:lineRule="auto"/>
        <w:rPr>
          <w:rFonts w:ascii="GHEA Grapalat" w:hAnsi="GHEA Grapalat"/>
        </w:rPr>
      </w:pPr>
      <w:r w:rsidRPr="00345A1C">
        <w:rPr>
          <w:rFonts w:ascii="GHEA Grapalat" w:hAnsi="GHEA Grapalat"/>
          <w:sz w:val="22"/>
          <w:szCs w:val="22"/>
          <w:lang w:val="en-US"/>
        </w:rPr>
        <w:drawing>
          <wp:inline distT="0" distB="0" distL="0" distR="0" wp14:anchorId="6D0631D2" wp14:editId="21B23648">
            <wp:extent cx="3152775" cy="2247900"/>
            <wp:effectExtent l="0" t="0" r="9525"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345A1C">
        <w:rPr>
          <w:rFonts w:ascii="GHEA Grapalat" w:eastAsia="GHEA Grapalat" w:hAnsi="GHEA Grapalat" w:cs="GHEA Grapalat"/>
          <w:i/>
          <w:color w:val="000000"/>
          <w:sz w:val="18"/>
          <w:szCs w:val="18"/>
        </w:rPr>
        <w:t xml:space="preserve"> </w:t>
      </w:r>
      <w:r w:rsidRPr="00345A1C">
        <w:rPr>
          <w:rFonts w:ascii="GHEA Grapalat" w:eastAsia="Calibri" w:hAnsi="GHEA Grapalat"/>
          <w:i/>
          <w:sz w:val="22"/>
          <w:szCs w:val="22"/>
          <w:lang w:val="en-US"/>
        </w:rPr>
        <w:drawing>
          <wp:inline distT="0" distB="0" distL="0" distR="0" wp14:anchorId="4CD93EB3" wp14:editId="45472B00">
            <wp:extent cx="3019425" cy="2238375"/>
            <wp:effectExtent l="0" t="0" r="9525" b="9525"/>
            <wp:docPr id="28"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F144DFC" w14:textId="77777777" w:rsidR="00927AC7" w:rsidRPr="00345A1C" w:rsidRDefault="00927AC7" w:rsidP="00A32D2B">
      <w:pPr>
        <w:keepNext/>
        <w:spacing w:after="120"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40C0BB2E" w14:textId="77777777" w:rsidR="00B55BEA" w:rsidRPr="00B55BEA" w:rsidRDefault="00B55BEA" w:rsidP="00B55BEA">
      <w:pPr>
        <w:spacing w:line="276" w:lineRule="auto"/>
        <w:ind w:firstLine="540"/>
        <w:jc w:val="both"/>
        <w:rPr>
          <w:rFonts w:ascii="GHEA Grapalat" w:eastAsia="GHEA Grapalat" w:hAnsi="GHEA Grapalat" w:cs="GHEA Grapalat"/>
          <w:sz w:val="22"/>
          <w:szCs w:val="22"/>
        </w:rPr>
      </w:pPr>
    </w:p>
    <w:p w14:paraId="1900745F" w14:textId="6EA66780" w:rsidR="00927AC7" w:rsidRPr="00345A1C" w:rsidRDefault="00927AC7" w:rsidP="00B55BEA">
      <w:pPr>
        <w:spacing w:line="276" w:lineRule="auto"/>
        <w:ind w:firstLine="540"/>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Ներմուծում:</w:t>
      </w:r>
      <w:r w:rsidRPr="00345A1C">
        <w:rPr>
          <w:rFonts w:ascii="GHEA Grapalat" w:eastAsia="GHEA Grapalat" w:hAnsi="GHEA Grapalat" w:cs="GHEA Grapalat"/>
          <w:b/>
          <w:sz w:val="22"/>
          <w:szCs w:val="22"/>
        </w:rPr>
        <w:t xml:space="preserve"> </w:t>
      </w:r>
      <w:r w:rsidR="0025536A" w:rsidRPr="00B55BEA">
        <w:rPr>
          <w:rFonts w:ascii="GHEA Grapalat" w:eastAsia="GHEA Grapalat" w:hAnsi="GHEA Grapalat" w:cs="GHEA Grapalat"/>
          <w:sz w:val="22"/>
          <w:szCs w:val="22"/>
        </w:rPr>
        <w:t>2024</w:t>
      </w:r>
      <w:r w:rsidRPr="00B55BEA">
        <w:rPr>
          <w:rFonts w:ascii="GHEA Grapalat" w:eastAsia="GHEA Grapalat" w:hAnsi="GHEA Grapalat" w:cs="GHEA Grapalat"/>
          <w:sz w:val="22"/>
          <w:szCs w:val="22"/>
        </w:rPr>
        <w:t>թ</w:t>
      </w:r>
      <w:r w:rsidR="0025536A"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արձանագրվել է ներմուծման երկնիշ աճ</w:t>
      </w:r>
      <w:r w:rsidR="0025536A" w:rsidRPr="00B55BEA">
        <w:rPr>
          <w:rFonts w:ascii="GHEA Grapalat" w:eastAsia="GHEA Grapalat" w:hAnsi="GHEA Grapalat" w:cs="GHEA Grapalat"/>
          <w:sz w:val="22"/>
          <w:szCs w:val="22"/>
        </w:rPr>
        <w:t xml:space="preserve"> </w:t>
      </w:r>
      <w:r w:rsidR="0094681B" w:rsidRPr="00B55BEA">
        <w:rPr>
          <w:rFonts w:ascii="GHEA Grapalat" w:eastAsia="GHEA Grapalat" w:hAnsi="GHEA Grapalat" w:cs="GHEA Grapalat"/>
          <w:sz w:val="22"/>
          <w:szCs w:val="22"/>
        </w:rPr>
        <w:t>(</w:t>
      </w:r>
      <w:r w:rsidR="0094681B" w:rsidRPr="00345A1C">
        <w:rPr>
          <w:rFonts w:ascii="GHEA Grapalat" w:eastAsia="GHEA Grapalat" w:hAnsi="GHEA Grapalat" w:cs="GHEA Grapalat"/>
          <w:sz w:val="22"/>
          <w:szCs w:val="22"/>
        </w:rPr>
        <w:t>33.8%</w:t>
      </w:r>
      <w:r w:rsidR="0094681B"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հիմնականում պայմանավորված վերաարտահանման նպատակով իրականացված ներմուծմամբ: </w:t>
      </w:r>
      <w:r w:rsidR="0025536A" w:rsidRPr="00B55BEA">
        <w:rPr>
          <w:rFonts w:ascii="GHEA Grapalat" w:eastAsia="GHEA Grapalat" w:hAnsi="GHEA Grapalat" w:cs="GHEA Grapalat"/>
          <w:sz w:val="22"/>
          <w:szCs w:val="22"/>
        </w:rPr>
        <w:t>2024</w:t>
      </w:r>
      <w:r w:rsidRPr="00B55BEA">
        <w:rPr>
          <w:rFonts w:ascii="GHEA Grapalat" w:eastAsia="GHEA Grapalat" w:hAnsi="GHEA Grapalat" w:cs="GHEA Grapalat"/>
          <w:sz w:val="22"/>
          <w:szCs w:val="22"/>
        </w:rPr>
        <w:t>թ</w:t>
      </w:r>
      <w:r w:rsidR="0025536A"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մայիս ամսից արձանագրվել է ներմուծման աճի տեմպերի կտրուկ դանդաղում՝ </w:t>
      </w:r>
      <w:r w:rsidR="00B55BEA">
        <w:rPr>
          <w:rFonts w:ascii="GHEA Grapalat" w:eastAsia="GHEA Grapalat" w:hAnsi="GHEA Grapalat" w:cs="GHEA Grapalat"/>
          <w:sz w:val="22"/>
          <w:szCs w:val="22"/>
        </w:rPr>
        <w:t>պայ</w:t>
      </w:r>
      <w:r w:rsidR="00B55BEA" w:rsidRPr="008040E9">
        <w:rPr>
          <w:rFonts w:ascii="GHEA Grapalat" w:eastAsia="GHEA Grapalat" w:hAnsi="GHEA Grapalat" w:cs="GHEA Grapalat"/>
          <w:sz w:val="22"/>
          <w:szCs w:val="22"/>
        </w:rPr>
        <w:t>մ</w:t>
      </w:r>
      <w:r w:rsidRPr="00B55BEA">
        <w:rPr>
          <w:rFonts w:ascii="GHEA Grapalat" w:eastAsia="GHEA Grapalat" w:hAnsi="GHEA Grapalat" w:cs="GHEA Grapalat"/>
          <w:sz w:val="22"/>
          <w:szCs w:val="22"/>
        </w:rPr>
        <w:t>անավորված վերը նշված վերաարտահանման գործոններով</w:t>
      </w:r>
      <w:r w:rsidRPr="00345A1C">
        <w:rPr>
          <w:rFonts w:ascii="GHEA Grapalat" w:eastAsia="GHEA Grapalat" w:hAnsi="GHEA Grapalat" w:cs="GHEA Grapalat"/>
          <w:sz w:val="22"/>
          <w:szCs w:val="22"/>
        </w:rPr>
        <w:t>: Սակայն հատկանշական է այն հանգամանքը, որ ինչպես արտահանման, այնպես էլ ներմուծման դեպքում նոյեմբեր ամսից նկատվել է ներմուծման կտրուկ անկում (</w:t>
      </w:r>
      <w:r w:rsidRPr="00B55BEA">
        <w:rPr>
          <w:rFonts w:ascii="GHEA Grapalat" w:eastAsia="GHEA Grapalat" w:hAnsi="GHEA Grapalat" w:cs="GHEA Grapalat"/>
          <w:sz w:val="22"/>
          <w:szCs w:val="22"/>
        </w:rPr>
        <w:t xml:space="preserve">ոսկու վերաարտահանման ծավալների նվազման և </w:t>
      </w:r>
      <w:r w:rsidRPr="00345A1C">
        <w:rPr>
          <w:rFonts w:ascii="GHEA Grapalat" w:eastAsia="GHEA Grapalat" w:hAnsi="GHEA Grapalat" w:cs="GHEA Grapalat"/>
          <w:sz w:val="22"/>
          <w:szCs w:val="22"/>
        </w:rPr>
        <w:t>նախորդ տարվա բարձր աճի բազայով</w:t>
      </w:r>
      <w:r w:rsidR="00122D05" w:rsidRPr="00345A1C">
        <w:rPr>
          <w:rFonts w:ascii="GHEA Grapalat" w:eastAsia="GHEA Grapalat" w:hAnsi="GHEA Grapalat" w:cs="GHEA Grapalat"/>
          <w:sz w:val="22"/>
          <w:szCs w:val="22"/>
        </w:rPr>
        <w:t xml:space="preserve"> </w:t>
      </w:r>
      <w:r w:rsidR="00122D05" w:rsidRPr="00B55BEA">
        <w:rPr>
          <w:rFonts w:ascii="GHEA Grapalat" w:eastAsia="GHEA Grapalat" w:hAnsi="GHEA Grapalat" w:cs="GHEA Grapalat"/>
          <w:sz w:val="22"/>
          <w:szCs w:val="22"/>
        </w:rPr>
        <w:t>(տե՛ս Գծապատկեր</w:t>
      </w:r>
      <w:r w:rsidR="002863D8">
        <w:rPr>
          <w:rFonts w:ascii="GHEA Grapalat" w:eastAsia="GHEA Grapalat" w:hAnsi="GHEA Grapalat" w:cs="GHEA Grapalat"/>
          <w:sz w:val="22"/>
          <w:szCs w:val="22"/>
        </w:rPr>
        <w:t xml:space="preserve"> 24</w:t>
      </w:r>
      <w:r w:rsidR="0025536A">
        <w:rPr>
          <w:rFonts w:ascii="GHEA Grapalat" w:eastAsia="GHEA Grapalat" w:hAnsi="GHEA Grapalat" w:cs="GHEA Grapalat"/>
          <w:sz w:val="22"/>
          <w:szCs w:val="22"/>
        </w:rPr>
        <w:t>):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դոլարային արտահայտությամբ ապրանքների ներմուծման ծավալն աճել է 33.8%-ով՝ կազմելով</w:t>
      </w:r>
      <w:r w:rsidR="002863D8">
        <w:rPr>
          <w:rFonts w:ascii="GHEA Grapalat" w:eastAsia="GHEA Grapalat" w:hAnsi="GHEA Grapalat" w:cs="GHEA Grapalat"/>
          <w:sz w:val="22"/>
          <w:szCs w:val="22"/>
        </w:rPr>
        <w:t xml:space="preserve"> 17,06</w:t>
      </w:r>
      <w:r w:rsidR="002863D8" w:rsidRPr="008040E9">
        <w:rPr>
          <w:rFonts w:ascii="GHEA Grapalat" w:eastAsia="GHEA Grapalat" w:hAnsi="GHEA Grapalat" w:cs="GHEA Grapalat"/>
          <w:sz w:val="22"/>
          <w:szCs w:val="22"/>
        </w:rPr>
        <w:t>7</w:t>
      </w:r>
      <w:r w:rsidRPr="00345A1C">
        <w:rPr>
          <w:rFonts w:ascii="GHEA Grapalat" w:eastAsia="GHEA Grapalat" w:hAnsi="GHEA Grapalat" w:cs="GHEA Grapalat"/>
          <w:sz w:val="22"/>
          <w:szCs w:val="22"/>
        </w:rPr>
        <w:t xml:space="preserve"> մլն դոլար: Ընդ որում՝ գրանցվել է իրական ծավալների շուրջ 31.3% աճ, իսկ ներմուծվող ապրանքների գները գրեթե մնացել են նախորդ տարվա նույն մակարդակում:</w:t>
      </w:r>
    </w:p>
    <w:p w14:paraId="417D205A" w14:textId="77777777" w:rsidR="00927AC7" w:rsidRPr="00345A1C" w:rsidRDefault="00927AC7" w:rsidP="00A32D2B">
      <w:pPr>
        <w:spacing w:line="276" w:lineRule="auto"/>
        <w:ind w:firstLine="540"/>
        <w:jc w:val="both"/>
        <w:rPr>
          <w:rFonts w:ascii="GHEA Grapalat" w:hAnsi="GHEA Grapalat"/>
          <w:sz w:val="22"/>
          <w:szCs w:val="22"/>
        </w:rPr>
      </w:pPr>
    </w:p>
    <w:p w14:paraId="784EED3D" w14:textId="4DD7E48D" w:rsidR="00927AC7" w:rsidRPr="00345A1C" w:rsidRDefault="00927AC7" w:rsidP="00DE0E91">
      <w:pPr>
        <w:pStyle w:val="ab"/>
      </w:pPr>
      <w:r w:rsidRPr="00345A1C">
        <w:lastRenderedPageBreak/>
        <w:t>Գծապատկեր 24. Ապրանքների ներմուծման ամսական միտումները</w:t>
      </w:r>
      <w:r w:rsidR="0025536A">
        <w:t xml:space="preserve"> 2024</w:t>
      </w:r>
      <w:r w:rsidRPr="00345A1C">
        <w:t>թ</w:t>
      </w:r>
      <w:r w:rsidR="00386099" w:rsidRPr="00345A1C">
        <w:t>,</w:t>
      </w:r>
      <w:r w:rsidR="002863D8" w:rsidRPr="008040E9">
        <w:t xml:space="preserve"> </w:t>
      </w:r>
      <w:r w:rsidR="00386099" w:rsidRPr="00345A1C">
        <w:t>%</w:t>
      </w:r>
    </w:p>
    <w:p w14:paraId="06F0477B" w14:textId="77777777" w:rsidR="00927AC7" w:rsidRPr="00345A1C" w:rsidRDefault="00927AC7" w:rsidP="002863D8">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inline distT="0" distB="0" distL="0" distR="0" wp14:anchorId="56496DE6" wp14:editId="5A09F4A8">
            <wp:extent cx="3181350" cy="2457450"/>
            <wp:effectExtent l="0" t="0" r="0" b="0"/>
            <wp:docPr id="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345A1C">
        <w:rPr>
          <w:rFonts w:ascii="GHEA Grapalat" w:eastAsia="GHEA Grapalat" w:hAnsi="GHEA Grapalat" w:cs="GHEA Grapalat"/>
          <w:sz w:val="22"/>
          <w:szCs w:val="22"/>
        </w:rPr>
        <w:t xml:space="preserve"> </w:t>
      </w:r>
      <w:r w:rsidRPr="00345A1C">
        <w:rPr>
          <w:rFonts w:ascii="GHEA Grapalat" w:eastAsia="Calibri" w:hAnsi="GHEA Grapalat"/>
          <w:i/>
          <w:sz w:val="22"/>
          <w:szCs w:val="22"/>
          <w:lang w:val="en-US"/>
        </w:rPr>
        <w:drawing>
          <wp:inline distT="0" distB="0" distL="0" distR="0" wp14:anchorId="4AFBC4A5" wp14:editId="37B3D232">
            <wp:extent cx="3181350" cy="2457450"/>
            <wp:effectExtent l="0" t="0" r="0" b="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AF2F926" w14:textId="77777777" w:rsidR="00927AC7" w:rsidRPr="00345A1C" w:rsidRDefault="00927AC7" w:rsidP="00AA6A8F">
      <w:pPr>
        <w:keepNext/>
        <w:spacing w:after="120"/>
        <w:rPr>
          <w:rFonts w:ascii="GHEA Grapalat" w:eastAsia="GHEA Grapalat" w:hAnsi="GHEA Grapalat" w:cs="GHEA Grapalat"/>
          <w:b/>
          <w:i/>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58E1557F" w14:textId="77777777" w:rsidR="002863D8" w:rsidRDefault="002863D8" w:rsidP="0025536A">
      <w:pPr>
        <w:spacing w:line="276" w:lineRule="auto"/>
        <w:ind w:firstLine="540"/>
        <w:jc w:val="both"/>
        <w:rPr>
          <w:rFonts w:ascii="GHEA Grapalat" w:hAnsi="GHEA Grapalat"/>
          <w:sz w:val="22"/>
          <w:szCs w:val="22"/>
        </w:rPr>
      </w:pPr>
    </w:p>
    <w:p w14:paraId="664CFADF" w14:textId="3D82AADB" w:rsidR="00927AC7" w:rsidRPr="00345A1C" w:rsidRDefault="0025536A" w:rsidP="0025536A">
      <w:pPr>
        <w:spacing w:line="276" w:lineRule="auto"/>
        <w:ind w:firstLine="540"/>
        <w:jc w:val="both"/>
        <w:rPr>
          <w:rFonts w:ascii="GHEA Grapalat" w:hAnsi="GHEA Grapalat"/>
          <w:sz w:val="22"/>
          <w:szCs w:val="22"/>
        </w:rPr>
      </w:pPr>
      <w:r>
        <w:rPr>
          <w:rFonts w:ascii="GHEA Grapalat" w:hAnsi="GHEA Grapalat"/>
          <w:sz w:val="22"/>
          <w:szCs w:val="22"/>
        </w:rPr>
        <w:t>2024</w:t>
      </w:r>
      <w:r w:rsidR="00927AC7" w:rsidRPr="00345A1C">
        <w:rPr>
          <w:rFonts w:ascii="GHEA Grapalat" w:hAnsi="GHEA Grapalat"/>
          <w:sz w:val="22"/>
          <w:szCs w:val="22"/>
        </w:rPr>
        <w:t>թ</w:t>
      </w:r>
      <w:r>
        <w:rPr>
          <w:rFonts w:ascii="GHEA Grapalat" w:hAnsi="GHEA Grapalat"/>
          <w:sz w:val="22"/>
          <w:szCs w:val="22"/>
        </w:rPr>
        <w:t>.</w:t>
      </w:r>
      <w:r w:rsidR="00927AC7" w:rsidRPr="00345A1C">
        <w:rPr>
          <w:rFonts w:ascii="GHEA Grapalat" w:hAnsi="GHEA Grapalat"/>
          <w:sz w:val="22"/>
          <w:szCs w:val="22"/>
        </w:rPr>
        <w:t xml:space="preserve"> ներմուծման դոլարային արտահայտությամբ ծավալների աճին ամենամեծ նպաստումն են ունեցել «Թանկարժեք և կիսաթանկարժեք քարեր, թանկարժեք մետաղներ և դրանցից իրեր» (36.4 տոկոսային կետ՝ վերաարտահանմամբ պայմանավորված), «Մեքենաներ և սարքավորումներ» (1.4 տոկոսային կետով), «Պատրաստի սննդի արտադրանք» (0.8 տոկոսային կետով) ապրանքախմբերը</w:t>
      </w:r>
      <w:bookmarkStart w:id="11" w:name="_Ref195200821"/>
      <w:r w:rsidR="00927AC7" w:rsidRPr="00345A1C">
        <w:rPr>
          <w:rFonts w:ascii="GHEA Grapalat" w:hAnsi="GHEA Grapalat"/>
          <w:sz w:val="22"/>
          <w:szCs w:val="22"/>
          <w:vertAlign w:val="superscript"/>
        </w:rPr>
        <w:footnoteReference w:id="13"/>
      </w:r>
      <w:bookmarkEnd w:id="11"/>
      <w:r w:rsidR="00927AC7" w:rsidRPr="00345A1C">
        <w:rPr>
          <w:rFonts w:ascii="GHEA Grapalat" w:hAnsi="GHEA Grapalat"/>
          <w:sz w:val="22"/>
          <w:szCs w:val="22"/>
        </w:rPr>
        <w:t xml:space="preserve">։ </w:t>
      </w:r>
    </w:p>
    <w:p w14:paraId="32413593" w14:textId="77777777" w:rsidR="00927AC7" w:rsidRPr="00345A1C" w:rsidRDefault="00927AC7" w:rsidP="0025536A">
      <w:pPr>
        <w:spacing w:line="276" w:lineRule="auto"/>
        <w:ind w:firstLine="540"/>
        <w:jc w:val="both"/>
        <w:rPr>
          <w:rFonts w:ascii="GHEA Grapalat" w:hAnsi="GHEA Grapalat"/>
          <w:sz w:val="22"/>
          <w:szCs w:val="22"/>
        </w:rPr>
      </w:pPr>
      <w:r w:rsidRPr="00345A1C">
        <w:rPr>
          <w:rFonts w:ascii="GHEA Grapalat" w:hAnsi="GHEA Grapalat"/>
          <w:sz w:val="22"/>
          <w:szCs w:val="22"/>
        </w:rPr>
        <w:t xml:space="preserve">Էական բացասական նպաստում է ունեցել «Վերգետնյա, օդային և ջրային տրանսպորտի միջոցներ» ապրանքախումբը, որը ներմուծման աճին հակազդել է 6.8 տոկոսային կետով։ </w:t>
      </w:r>
    </w:p>
    <w:p w14:paraId="0AB105D9" w14:textId="7CA957D3" w:rsidR="00927AC7" w:rsidRPr="00345A1C" w:rsidRDefault="00927AC7" w:rsidP="0025536A">
      <w:pPr>
        <w:spacing w:line="276" w:lineRule="auto"/>
        <w:ind w:firstLine="540"/>
        <w:jc w:val="both"/>
        <w:rPr>
          <w:rFonts w:ascii="GHEA Grapalat" w:hAnsi="GHEA Grapalat"/>
          <w:sz w:val="22"/>
          <w:szCs w:val="22"/>
        </w:rPr>
      </w:pPr>
      <w:r w:rsidRPr="00345A1C">
        <w:rPr>
          <w:rFonts w:ascii="GHEA Grapalat" w:hAnsi="GHEA Grapalat"/>
          <w:sz w:val="22"/>
          <w:szCs w:val="22"/>
        </w:rPr>
        <w:t>Ըստ ապրանքների լայն տնտեսական դասակարգման՝ ներմուծման աճին նպաստել են «Միջանկյալ սպառման ապրանքները» (37.8 տոկոսային կետ, այդ թվում՝ արդյունաբերական մատակար</w:t>
      </w:r>
      <w:r w:rsidR="001C24AD">
        <w:rPr>
          <w:rFonts w:ascii="GHEA Grapalat" w:hAnsi="GHEA Grapalat"/>
          <w:sz w:val="22"/>
          <w:szCs w:val="22"/>
        </w:rPr>
        <w:t>արումները՝ 37.5 տոկոսային կետ),</w:t>
      </w:r>
      <w:r w:rsidRPr="00345A1C">
        <w:rPr>
          <w:rFonts w:ascii="GHEA Grapalat" w:hAnsi="GHEA Grapalat"/>
          <w:sz w:val="22"/>
          <w:szCs w:val="22"/>
        </w:rPr>
        <w:t xml:space="preserve"> «Վերջնական սպառման ապրանքները» (1.7 տոկոսային կետ)</w:t>
      </w:r>
      <w:r w:rsidR="001C24AD" w:rsidRPr="008040E9">
        <w:rPr>
          <w:rFonts w:ascii="GHEA Grapalat" w:hAnsi="GHEA Grapalat"/>
          <w:sz w:val="22"/>
          <w:szCs w:val="22"/>
        </w:rPr>
        <w:t xml:space="preserve"> և</w:t>
      </w:r>
      <w:r w:rsidRPr="00345A1C">
        <w:rPr>
          <w:rFonts w:ascii="GHEA Grapalat" w:hAnsi="GHEA Grapalat"/>
          <w:sz w:val="22"/>
          <w:szCs w:val="22"/>
        </w:rPr>
        <w:t xml:space="preserve"> «Կապիտալ ապրանքները» (0.6 տոկոսային կետ), իսկ «Մարդատար ավտոմեքենաները» (6.3 տոկոսային կետ) հակազդել են</w:t>
      </w:r>
      <w:r w:rsidR="00A446BC" w:rsidRPr="00A446BC">
        <w:rPr>
          <w:rFonts w:ascii="GHEA Grapalat" w:hAnsi="GHEA Grapalat"/>
          <w:sz w:val="22"/>
          <w:szCs w:val="22"/>
          <w:vertAlign w:val="superscript"/>
        </w:rPr>
        <w:fldChar w:fldCharType="begin"/>
      </w:r>
      <w:r w:rsidR="00A446BC" w:rsidRPr="00A446BC">
        <w:rPr>
          <w:rFonts w:ascii="GHEA Grapalat" w:hAnsi="GHEA Grapalat"/>
          <w:sz w:val="22"/>
          <w:szCs w:val="22"/>
          <w:vertAlign w:val="superscript"/>
        </w:rPr>
        <w:instrText xml:space="preserve"> NOTEREF _Ref195200821 \h </w:instrText>
      </w:r>
      <w:r w:rsidR="00A446BC">
        <w:rPr>
          <w:rFonts w:ascii="GHEA Grapalat" w:hAnsi="GHEA Grapalat"/>
          <w:sz w:val="22"/>
          <w:szCs w:val="22"/>
          <w:vertAlign w:val="superscript"/>
        </w:rPr>
        <w:instrText xml:space="preserve"> \* MERGEFORMAT </w:instrText>
      </w:r>
      <w:r w:rsidR="00A446BC" w:rsidRPr="00A446BC">
        <w:rPr>
          <w:rFonts w:ascii="GHEA Grapalat" w:hAnsi="GHEA Grapalat"/>
          <w:sz w:val="22"/>
          <w:szCs w:val="22"/>
          <w:vertAlign w:val="superscript"/>
        </w:rPr>
      </w:r>
      <w:r w:rsidR="00A446BC" w:rsidRPr="00A446BC">
        <w:rPr>
          <w:rFonts w:ascii="GHEA Grapalat" w:hAnsi="GHEA Grapalat"/>
          <w:sz w:val="22"/>
          <w:szCs w:val="22"/>
          <w:vertAlign w:val="superscript"/>
        </w:rPr>
        <w:fldChar w:fldCharType="separate"/>
      </w:r>
      <w:r w:rsidR="00A446BC" w:rsidRPr="00A446BC">
        <w:rPr>
          <w:rFonts w:ascii="GHEA Grapalat" w:hAnsi="GHEA Grapalat"/>
          <w:sz w:val="22"/>
          <w:szCs w:val="22"/>
          <w:vertAlign w:val="superscript"/>
        </w:rPr>
        <w:t>13</w:t>
      </w:r>
      <w:r w:rsidR="00A446BC" w:rsidRPr="00A446BC">
        <w:rPr>
          <w:rFonts w:ascii="GHEA Grapalat" w:hAnsi="GHEA Grapalat"/>
          <w:sz w:val="22"/>
          <w:szCs w:val="22"/>
          <w:vertAlign w:val="superscript"/>
        </w:rPr>
        <w:fldChar w:fldCharType="end"/>
      </w:r>
      <w:r w:rsidRPr="00345A1C">
        <w:rPr>
          <w:rFonts w:ascii="GHEA Grapalat" w:hAnsi="GHEA Grapalat"/>
          <w:sz w:val="22"/>
          <w:szCs w:val="22"/>
        </w:rPr>
        <w:t xml:space="preserve">: </w:t>
      </w:r>
    </w:p>
    <w:p w14:paraId="443A0736" w14:textId="0A8029EF" w:rsidR="00927AC7" w:rsidRPr="001C24AD" w:rsidRDefault="00927AC7">
      <w:pPr>
        <w:spacing w:line="276" w:lineRule="auto"/>
        <w:ind w:firstLine="540"/>
        <w:jc w:val="both"/>
        <w:rPr>
          <w:rFonts w:ascii="GHEA Grapalat" w:hAnsi="GHEA Grapalat"/>
          <w:sz w:val="22"/>
          <w:szCs w:val="22"/>
        </w:rPr>
      </w:pPr>
      <w:r w:rsidRPr="00345A1C">
        <w:rPr>
          <w:rFonts w:ascii="GHEA Grapalat" w:eastAsia="GHEA Grapalat" w:hAnsi="GHEA Grapalat" w:cs="GHEA Grapalat"/>
          <w:b/>
          <w:i/>
          <w:sz w:val="22"/>
          <w:szCs w:val="22"/>
        </w:rPr>
        <w:t>Արտաքին առևտուրն ըստ գործընկեր երկրների:</w:t>
      </w:r>
      <w:r w:rsidRPr="00345A1C">
        <w:rPr>
          <w:rFonts w:ascii="GHEA Grapalat" w:eastAsia="GHEA Grapalat" w:hAnsi="GHEA Grapalat" w:cs="GHEA Grapalat"/>
          <w:i/>
          <w:sz w:val="22"/>
          <w:szCs w:val="22"/>
        </w:rPr>
        <w:t xml:space="preserve"> </w:t>
      </w:r>
      <w:r w:rsidR="0025536A" w:rsidRPr="001C24AD">
        <w:rPr>
          <w:rFonts w:ascii="GHEA Grapalat" w:hAnsi="GHEA Grapalat"/>
          <w:sz w:val="22"/>
          <w:szCs w:val="22"/>
        </w:rPr>
        <w:t>2024</w:t>
      </w:r>
      <w:r w:rsidRPr="001C24AD">
        <w:rPr>
          <w:rFonts w:ascii="GHEA Grapalat" w:hAnsi="GHEA Grapalat"/>
          <w:sz w:val="22"/>
          <w:szCs w:val="22"/>
        </w:rPr>
        <w:t>թ</w:t>
      </w:r>
      <w:r w:rsidR="0025536A" w:rsidRPr="001C24AD">
        <w:rPr>
          <w:rFonts w:ascii="GHEA Grapalat" w:hAnsi="GHEA Grapalat"/>
          <w:sz w:val="22"/>
          <w:szCs w:val="22"/>
        </w:rPr>
        <w:t>.</w:t>
      </w:r>
      <w:r w:rsidRPr="001C24AD">
        <w:rPr>
          <w:rFonts w:ascii="GHEA Grapalat" w:hAnsi="GHEA Grapalat"/>
          <w:sz w:val="22"/>
          <w:szCs w:val="22"/>
        </w:rPr>
        <w:t xml:space="preserve"> առևտրաշրջանառության աշխարհագրական կառուցվածքը նախորդ տարվա նկատմամբ որոշակի փոփոխվել է։ Արտաքին առևտրի կառուցվածքում այլ երկրների և ԵԱՏՄ-ի դերը բարձրացել է, իսկ ԵՄ-ի երկրների դերը՝ նվազել։ ՀՀ արտաքին առևտրաշրջանառության 42.7%-ը բաժին է ընկել ԱՊՀ (որից 42.2</w:t>
      </w:r>
      <w:r w:rsidR="00E505AC" w:rsidRPr="008040E9">
        <w:rPr>
          <w:rFonts w:ascii="GHEA Grapalat" w:hAnsi="GHEA Grapalat"/>
          <w:sz w:val="22"/>
          <w:szCs w:val="22"/>
        </w:rPr>
        <w:t xml:space="preserve"> տոկոս</w:t>
      </w:r>
      <w:r w:rsidRPr="001C24AD">
        <w:rPr>
          <w:rFonts w:ascii="GHEA Grapalat" w:hAnsi="GHEA Grapalat"/>
          <w:sz w:val="22"/>
          <w:szCs w:val="22"/>
        </w:rPr>
        <w:t>ային կետը` ԵԱՏՄ), 7.7%-ը` ԵՄ և 49.6%-ը` այլ երկրներին (որից 17.7</w:t>
      </w:r>
      <w:r w:rsidR="00E505AC" w:rsidRPr="008040E9">
        <w:rPr>
          <w:rFonts w:ascii="GHEA Grapalat" w:hAnsi="GHEA Grapalat"/>
          <w:sz w:val="22"/>
          <w:szCs w:val="22"/>
        </w:rPr>
        <w:t xml:space="preserve"> տոկոս</w:t>
      </w:r>
      <w:r w:rsidRPr="001C24AD">
        <w:rPr>
          <w:rFonts w:ascii="GHEA Grapalat" w:hAnsi="GHEA Grapalat"/>
          <w:sz w:val="22"/>
          <w:szCs w:val="22"/>
        </w:rPr>
        <w:t>ային կետը` ԱՄԷ): ՀՀ արտաքին առևտրաշրջանառության մեջ նախորդ տարվա համեմատ այլ երկրների կշիռն ավելացել է 1.4 տոկոսային կետով (որին մեծ նպաստում է ունեցել դեպի ԱՄԷ արտահանումը) և ԱՊՀ երկրների կշիռը՝</w:t>
      </w:r>
      <w:r w:rsidR="00B85C24" w:rsidRPr="001C24AD">
        <w:rPr>
          <w:rFonts w:ascii="GHEA Grapalat" w:hAnsi="GHEA Grapalat"/>
          <w:sz w:val="22"/>
          <w:szCs w:val="22"/>
        </w:rPr>
        <w:t xml:space="preserve"> </w:t>
      </w:r>
      <w:r w:rsidR="00E505AC">
        <w:rPr>
          <w:rFonts w:ascii="GHEA Grapalat" w:hAnsi="GHEA Grapalat"/>
          <w:sz w:val="22"/>
          <w:szCs w:val="22"/>
        </w:rPr>
        <w:t>3.3</w:t>
      </w:r>
      <w:r w:rsidRPr="001C24AD">
        <w:rPr>
          <w:rFonts w:ascii="GHEA Grapalat" w:hAnsi="GHEA Grapalat"/>
          <w:sz w:val="22"/>
          <w:szCs w:val="22"/>
        </w:rPr>
        <w:t xml:space="preserve"> տոկոսային կետով, ԵԱՏՄ-ն՝ 3.5 տո</w:t>
      </w:r>
      <w:r w:rsidR="00E505AC">
        <w:rPr>
          <w:rFonts w:ascii="GHEA Grapalat" w:hAnsi="GHEA Grapalat"/>
          <w:sz w:val="22"/>
          <w:szCs w:val="22"/>
        </w:rPr>
        <w:t>կոսային կետով (ՌԴ՝ 3.9), իսկ ԵՄ</w:t>
      </w:r>
      <w:r w:rsidRPr="001C24AD">
        <w:rPr>
          <w:rFonts w:ascii="GHEA Grapalat" w:hAnsi="GHEA Grapalat"/>
          <w:sz w:val="22"/>
          <w:szCs w:val="22"/>
        </w:rPr>
        <w:t xml:space="preserve"> կշիռը նվազել է 4.7 տոկոսային կետով։</w:t>
      </w:r>
    </w:p>
    <w:p w14:paraId="013370FF" w14:textId="0CCCD23A" w:rsidR="00927AC7" w:rsidRPr="00345A1C" w:rsidRDefault="00927AC7" w:rsidP="00A32D2B">
      <w:pPr>
        <w:spacing w:line="276" w:lineRule="auto"/>
        <w:ind w:firstLine="540"/>
        <w:jc w:val="both"/>
        <w:rPr>
          <w:rFonts w:ascii="GHEA Grapalat" w:eastAsia="GHEA Grapalat" w:hAnsi="GHEA Grapalat" w:cs="GHEA Grapalat"/>
          <w:bCs/>
          <w:sz w:val="22"/>
          <w:szCs w:val="22"/>
        </w:rPr>
      </w:pPr>
      <w:r w:rsidRPr="00345A1C">
        <w:rPr>
          <w:rFonts w:ascii="GHEA Grapalat" w:eastAsia="GHEA Grapalat" w:hAnsi="GHEA Grapalat" w:cs="GHEA Grapalat"/>
          <w:bCs/>
          <w:sz w:val="22"/>
          <w:szCs w:val="22"/>
        </w:rPr>
        <w:t>ՀՀ խոշոր առևտրային գործընկեր ՌԴ-ի հետ առևտրաշրջանառության ծավալները հաշվետու տարում ավելացել են</w:t>
      </w:r>
      <w:r w:rsidR="002F6723">
        <w:rPr>
          <w:rFonts w:ascii="GHEA Grapalat" w:eastAsia="GHEA Grapalat" w:hAnsi="GHEA Grapalat" w:cs="GHEA Grapalat"/>
          <w:bCs/>
          <w:sz w:val="22"/>
          <w:szCs w:val="22"/>
        </w:rPr>
        <w:t xml:space="preserve"> 56.5</w:t>
      </w:r>
      <w:r w:rsidR="002F6723" w:rsidRPr="008040E9">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ով, որին նպաստել է ՌԴ-ից ներմուծման 2.1 անգամ աճը, իսկ ՌԴ ապրանքների արտահանումը ունեցել է բացասական նպաստում</w:t>
      </w:r>
      <w:r w:rsidRPr="00345A1C">
        <w:rPr>
          <w:rFonts w:ascii="GHEA Grapalat" w:eastAsia="GHEA Grapalat" w:hAnsi="GHEA Grapalat" w:cs="GHEA Grapalat"/>
          <w:bCs/>
          <w:color w:val="000000" w:themeColor="text1"/>
          <w:sz w:val="22"/>
          <w:szCs w:val="22"/>
        </w:rPr>
        <w:t xml:space="preserve">: </w:t>
      </w:r>
      <w:r w:rsidR="0025536A">
        <w:rPr>
          <w:rFonts w:ascii="GHEA Grapalat" w:eastAsia="GHEA Grapalat" w:hAnsi="GHEA Grapalat" w:cs="GHEA Grapalat"/>
          <w:bCs/>
          <w:sz w:val="22"/>
          <w:szCs w:val="22"/>
        </w:rPr>
        <w:t>2024</w:t>
      </w:r>
      <w:r w:rsidRPr="00345A1C">
        <w:rPr>
          <w:rFonts w:ascii="GHEA Grapalat" w:eastAsia="GHEA Grapalat" w:hAnsi="GHEA Grapalat" w:cs="GHEA Grapalat"/>
          <w:bCs/>
          <w:sz w:val="22"/>
          <w:szCs w:val="22"/>
        </w:rPr>
        <w:t>թ</w:t>
      </w:r>
      <w:r w:rsidR="0025536A">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ՀՀ խոշոր առևտրային գործընկերների շրջանակում ընդգրկված Արաբական Միացյալ Էմիրությունների հետ </w:t>
      </w:r>
      <w:r w:rsidRPr="00345A1C">
        <w:rPr>
          <w:rFonts w:ascii="GHEA Grapalat" w:eastAsia="GHEA Grapalat" w:hAnsi="GHEA Grapalat" w:cs="GHEA Grapalat"/>
          <w:bCs/>
          <w:sz w:val="22"/>
          <w:szCs w:val="22"/>
        </w:rPr>
        <w:lastRenderedPageBreak/>
        <w:t xml:space="preserve">առևտրաշրջանառության ծավալն աճել է </w:t>
      </w:r>
      <w:r w:rsidRPr="00345A1C">
        <w:rPr>
          <w:rFonts w:ascii="GHEA Grapalat" w:eastAsia="GHEA Grapalat" w:hAnsi="GHEA Grapalat" w:cs="GHEA Grapalat"/>
          <w:bCs/>
          <w:color w:val="000000" w:themeColor="text1"/>
          <w:sz w:val="22"/>
          <w:szCs w:val="22"/>
        </w:rPr>
        <w:t xml:space="preserve">2.3 </w:t>
      </w:r>
      <w:r w:rsidRPr="00345A1C">
        <w:rPr>
          <w:rFonts w:ascii="GHEA Grapalat" w:eastAsia="GHEA Grapalat" w:hAnsi="GHEA Grapalat" w:cs="GHEA Grapalat"/>
          <w:bCs/>
          <w:sz w:val="22"/>
          <w:szCs w:val="22"/>
        </w:rPr>
        <w:t>անգամ (կշիռը՝ 17.7%), որին մեծ նպաստում է ունեցել արտահանման 2.4 անգամ աճը (հիմնականում արտահանվել են անմշակ ոսկի և ոսկերչական իրեր</w:t>
      </w:r>
      <w:r w:rsidR="0025536A">
        <w:rPr>
          <w:rFonts w:ascii="GHEA Grapalat" w:eastAsia="GHEA Grapalat" w:hAnsi="GHEA Grapalat" w:cs="GHEA Grapalat"/>
          <w:bCs/>
          <w:sz w:val="22"/>
          <w:szCs w:val="22"/>
        </w:rPr>
        <w:t>): 2024</w:t>
      </w:r>
      <w:r w:rsidRPr="00345A1C">
        <w:rPr>
          <w:rFonts w:ascii="GHEA Grapalat" w:eastAsia="GHEA Grapalat" w:hAnsi="GHEA Grapalat" w:cs="GHEA Grapalat"/>
          <w:bCs/>
          <w:sz w:val="22"/>
          <w:szCs w:val="22"/>
        </w:rPr>
        <w:t>թ</w:t>
      </w:r>
      <w:r w:rsidR="0025536A">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ՀՀ խոշոր առևտրային գործընկերներ են նաև Չինաստանը (9.4%), Իրանը (2.4%), ԱՄՆ-ն (1.4%), Գերմանիան (1.6%) և այլն:</w:t>
      </w:r>
    </w:p>
    <w:p w14:paraId="2D8299F7" w14:textId="429E3F0F" w:rsidR="00927AC7" w:rsidRPr="002F6723" w:rsidRDefault="00927AC7" w:rsidP="00A32D2B">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sz w:val="22"/>
          <w:szCs w:val="22"/>
        </w:rPr>
        <w:t>Ծառայություններ:</w:t>
      </w:r>
      <w:r w:rsidR="0025536A">
        <w:rPr>
          <w:rFonts w:ascii="GHEA Grapalat" w:eastAsia="GHEA Grapalat" w:hAnsi="GHEA Grapalat" w:cs="GHEA Grapalat"/>
          <w:b/>
          <w:sz w:val="22"/>
          <w:szCs w:val="22"/>
        </w:rPr>
        <w:t xml:space="preserve"> </w:t>
      </w:r>
      <w:r w:rsidR="0025536A" w:rsidRPr="002F6723">
        <w:rPr>
          <w:rFonts w:ascii="GHEA Grapalat" w:eastAsia="GHEA Grapalat" w:hAnsi="GHEA Grapalat" w:cs="GHEA Grapalat"/>
          <w:bCs/>
          <w:sz w:val="22"/>
          <w:szCs w:val="22"/>
        </w:rPr>
        <w:t>2024</w:t>
      </w:r>
      <w:r w:rsidRPr="002F6723">
        <w:rPr>
          <w:rFonts w:ascii="GHEA Grapalat" w:eastAsia="GHEA Grapalat" w:hAnsi="GHEA Grapalat" w:cs="GHEA Grapalat"/>
          <w:bCs/>
          <w:sz w:val="22"/>
          <w:szCs w:val="22"/>
        </w:rPr>
        <w:t>թ</w:t>
      </w:r>
      <w:r w:rsidR="0025536A" w:rsidRPr="002F6723">
        <w:rPr>
          <w:rFonts w:ascii="GHEA Grapalat" w:eastAsia="GHEA Grapalat" w:hAnsi="GHEA Grapalat" w:cs="GHEA Grapalat"/>
          <w:bCs/>
          <w:sz w:val="22"/>
          <w:szCs w:val="22"/>
        </w:rPr>
        <w:t>.</w:t>
      </w:r>
      <w:r w:rsidRPr="002F6723">
        <w:rPr>
          <w:rFonts w:ascii="GHEA Grapalat" w:eastAsia="GHEA Grapalat" w:hAnsi="GHEA Grapalat" w:cs="GHEA Grapalat"/>
          <w:bCs/>
          <w:sz w:val="22"/>
          <w:szCs w:val="22"/>
        </w:rPr>
        <w:t xml:space="preserve"> ծառայությունների հաշվեկշիռը վատթարացել</w:t>
      </w:r>
      <w:r w:rsidR="002F6723" w:rsidRPr="008040E9">
        <w:rPr>
          <w:rFonts w:ascii="GHEA Grapalat" w:eastAsia="GHEA Grapalat" w:hAnsi="GHEA Grapalat" w:cs="GHEA Grapalat"/>
          <w:bCs/>
          <w:sz w:val="22"/>
          <w:szCs w:val="22"/>
        </w:rPr>
        <w:t xml:space="preserve"> է</w:t>
      </w:r>
      <w:r w:rsidRPr="002F6723">
        <w:rPr>
          <w:rFonts w:ascii="GHEA Grapalat" w:eastAsia="GHEA Grapalat" w:hAnsi="GHEA Grapalat" w:cs="GHEA Grapalat"/>
          <w:bCs/>
          <w:sz w:val="22"/>
          <w:szCs w:val="22"/>
        </w:rPr>
        <w:t xml:space="preserve">: </w:t>
      </w:r>
      <w:r w:rsidR="00E0512F" w:rsidRPr="002F6723">
        <w:rPr>
          <w:rFonts w:ascii="GHEA Grapalat" w:eastAsia="GHEA Grapalat" w:hAnsi="GHEA Grapalat" w:cs="GHEA Grapalat"/>
          <w:bCs/>
          <w:sz w:val="22"/>
          <w:szCs w:val="22"/>
        </w:rPr>
        <w:t>2024</w:t>
      </w:r>
      <w:r w:rsidRPr="002F6723">
        <w:rPr>
          <w:rFonts w:ascii="GHEA Grapalat" w:eastAsia="GHEA Grapalat" w:hAnsi="GHEA Grapalat" w:cs="GHEA Grapalat"/>
          <w:bCs/>
          <w:sz w:val="22"/>
          <w:szCs w:val="22"/>
        </w:rPr>
        <w:t>թ</w:t>
      </w:r>
      <w:r w:rsidR="00E0512F" w:rsidRPr="002F6723">
        <w:rPr>
          <w:rFonts w:ascii="GHEA Grapalat" w:eastAsia="GHEA Grapalat" w:hAnsi="GHEA Grapalat" w:cs="GHEA Grapalat"/>
          <w:bCs/>
          <w:sz w:val="22"/>
          <w:szCs w:val="22"/>
        </w:rPr>
        <w:t>.</w:t>
      </w:r>
      <w:r w:rsidRPr="002F6723">
        <w:rPr>
          <w:rFonts w:ascii="GHEA Grapalat" w:eastAsia="GHEA Grapalat" w:hAnsi="GHEA Grapalat" w:cs="GHEA Grapalat"/>
          <w:bCs/>
          <w:sz w:val="22"/>
          <w:szCs w:val="22"/>
        </w:rPr>
        <w:t xml:space="preserve"> ծառայությունների արտահանում</w:t>
      </w:r>
      <w:r w:rsidR="002F6723" w:rsidRPr="008040E9">
        <w:rPr>
          <w:rFonts w:ascii="GHEA Grapalat" w:eastAsia="GHEA Grapalat" w:hAnsi="GHEA Grapalat" w:cs="GHEA Grapalat"/>
          <w:bCs/>
          <w:sz w:val="22"/>
          <w:szCs w:val="22"/>
        </w:rPr>
        <w:t>ը</w:t>
      </w:r>
      <w:r w:rsidRPr="002F6723">
        <w:rPr>
          <w:rFonts w:ascii="GHEA Grapalat" w:eastAsia="GHEA Grapalat" w:hAnsi="GHEA Grapalat" w:cs="GHEA Grapalat"/>
          <w:bCs/>
          <w:sz w:val="22"/>
          <w:szCs w:val="22"/>
        </w:rPr>
        <w:t xml:space="preserve"> նվազել է 0.1%-ով, իսկ ներմուծում</w:t>
      </w:r>
      <w:r w:rsidR="002F6723" w:rsidRPr="008040E9">
        <w:rPr>
          <w:rFonts w:ascii="GHEA Grapalat" w:eastAsia="GHEA Grapalat" w:hAnsi="GHEA Grapalat" w:cs="GHEA Grapalat"/>
          <w:bCs/>
          <w:sz w:val="22"/>
          <w:szCs w:val="22"/>
        </w:rPr>
        <w:t>ն</w:t>
      </w:r>
      <w:r w:rsidRPr="002F6723">
        <w:rPr>
          <w:rFonts w:ascii="GHEA Grapalat" w:eastAsia="GHEA Grapalat" w:hAnsi="GHEA Grapalat" w:cs="GHEA Grapalat"/>
          <w:bCs/>
          <w:sz w:val="22"/>
          <w:szCs w:val="22"/>
        </w:rPr>
        <w:t xml:space="preserve"> աճել է 14.2%-ով: Ծառայությունների արտահանման նվազմանը հիմնականում նպաստել է զբոսաշրջության նվազումը (10 տոկոսային կետ): Իսկ ներմուծման աճին </w:t>
      </w:r>
      <w:r w:rsidR="00DC37FB" w:rsidRPr="002F6723">
        <w:rPr>
          <w:rFonts w:ascii="GHEA Grapalat" w:eastAsia="GHEA Grapalat" w:hAnsi="GHEA Grapalat" w:cs="GHEA Grapalat"/>
          <w:bCs/>
          <w:sz w:val="22"/>
          <w:szCs w:val="22"/>
        </w:rPr>
        <w:t>ամենամեծ</w:t>
      </w:r>
      <w:r w:rsidRPr="002F6723">
        <w:rPr>
          <w:rFonts w:ascii="GHEA Grapalat" w:eastAsia="GHEA Grapalat" w:hAnsi="GHEA Grapalat" w:cs="GHEA Grapalat"/>
          <w:bCs/>
          <w:sz w:val="22"/>
          <w:szCs w:val="22"/>
        </w:rPr>
        <w:t xml:space="preserve"> նպաստ</w:t>
      </w:r>
      <w:r w:rsidR="00DC37FB" w:rsidRPr="002F6723">
        <w:rPr>
          <w:rFonts w:ascii="GHEA Grapalat" w:eastAsia="GHEA Grapalat" w:hAnsi="GHEA Grapalat" w:cs="GHEA Grapalat"/>
          <w:bCs/>
          <w:sz w:val="22"/>
          <w:szCs w:val="22"/>
        </w:rPr>
        <w:t>ումն</w:t>
      </w:r>
      <w:r w:rsidRPr="002F6723">
        <w:rPr>
          <w:rFonts w:ascii="GHEA Grapalat" w:eastAsia="GHEA Grapalat" w:hAnsi="GHEA Grapalat" w:cs="GHEA Grapalat"/>
          <w:bCs/>
          <w:sz w:val="22"/>
          <w:szCs w:val="22"/>
        </w:rPr>
        <w:t xml:space="preserve"> են</w:t>
      </w:r>
      <w:r w:rsidR="00DC37FB" w:rsidRPr="002F6723">
        <w:rPr>
          <w:rFonts w:ascii="GHEA Grapalat" w:eastAsia="GHEA Grapalat" w:hAnsi="GHEA Grapalat" w:cs="GHEA Grapalat"/>
          <w:bCs/>
          <w:sz w:val="22"/>
          <w:szCs w:val="22"/>
        </w:rPr>
        <w:t xml:space="preserve"> ունեցել</w:t>
      </w:r>
      <w:r w:rsidRPr="002F6723">
        <w:rPr>
          <w:rFonts w:ascii="GHEA Grapalat" w:eastAsia="GHEA Grapalat" w:hAnsi="GHEA Grapalat" w:cs="GHEA Grapalat"/>
          <w:bCs/>
          <w:sz w:val="22"/>
          <w:szCs w:val="22"/>
        </w:rPr>
        <w:t xml:space="preserve"> տրանսպորտի (5.3 տոկոսային կետ)</w:t>
      </w:r>
      <w:r w:rsidR="002249C6" w:rsidRPr="002F6723">
        <w:rPr>
          <w:rFonts w:ascii="GHEA Grapalat" w:eastAsia="GHEA Grapalat" w:hAnsi="GHEA Grapalat" w:cs="GHEA Grapalat"/>
          <w:bCs/>
          <w:sz w:val="22"/>
          <w:szCs w:val="22"/>
        </w:rPr>
        <w:t xml:space="preserve"> և</w:t>
      </w:r>
      <w:r w:rsidRPr="002F6723">
        <w:rPr>
          <w:rFonts w:ascii="GHEA Grapalat" w:eastAsia="GHEA Grapalat" w:hAnsi="GHEA Grapalat" w:cs="GHEA Grapalat"/>
          <w:bCs/>
          <w:sz w:val="22"/>
          <w:szCs w:val="22"/>
        </w:rPr>
        <w:t xml:space="preserve"> զբոսաշրջության (2 տոկոսային կետ) </w:t>
      </w:r>
      <w:r w:rsidR="002249C6" w:rsidRPr="002F6723">
        <w:rPr>
          <w:rFonts w:ascii="GHEA Grapalat" w:eastAsia="GHEA Grapalat" w:hAnsi="GHEA Grapalat" w:cs="GHEA Grapalat"/>
          <w:bCs/>
          <w:sz w:val="22"/>
          <w:szCs w:val="22"/>
        </w:rPr>
        <w:t>ծառայությունների</w:t>
      </w:r>
      <w:r w:rsidR="00DC37FB" w:rsidRPr="002F6723">
        <w:rPr>
          <w:rFonts w:ascii="GHEA Grapalat" w:eastAsia="GHEA Grapalat" w:hAnsi="GHEA Grapalat" w:cs="GHEA Grapalat"/>
          <w:bCs/>
          <w:sz w:val="22"/>
          <w:szCs w:val="22"/>
        </w:rPr>
        <w:t xml:space="preserve"> աճերը</w:t>
      </w:r>
      <w:r w:rsidRPr="002F6723">
        <w:rPr>
          <w:rFonts w:ascii="GHEA Grapalat" w:eastAsia="GHEA Grapalat" w:hAnsi="GHEA Grapalat" w:cs="GHEA Grapalat"/>
          <w:bCs/>
          <w:sz w:val="22"/>
          <w:szCs w:val="22"/>
        </w:rPr>
        <w:t xml:space="preserve">: </w:t>
      </w:r>
    </w:p>
    <w:p w14:paraId="61BF509D" w14:textId="122F1D20" w:rsidR="002249C6" w:rsidRPr="00345A1C" w:rsidRDefault="0025536A" w:rsidP="00A32D2B">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2024</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ՀՀ այցելած զբոսաշրջիկների թիվը կազմել է շուրջ 2</w:t>
      </w:r>
      <w:r w:rsidR="002F6723" w:rsidRPr="008040E9">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208 հազար մարդ՝ նախորդ տարվա համեմատ նվազելով շուրջ 5%-ով (շուրջ 108 հազար մարդով), որը հիմնականում </w:t>
      </w:r>
      <w:r w:rsidR="002249C6" w:rsidRPr="00345A1C">
        <w:rPr>
          <w:rFonts w:ascii="GHEA Grapalat" w:eastAsia="GHEA Grapalat" w:hAnsi="GHEA Grapalat" w:cs="GHEA Grapalat"/>
          <w:sz w:val="22"/>
          <w:szCs w:val="22"/>
        </w:rPr>
        <w:t>պայմանավորվել</w:t>
      </w:r>
      <w:r w:rsidR="00927AC7" w:rsidRPr="00345A1C">
        <w:rPr>
          <w:rFonts w:ascii="GHEA Grapalat" w:eastAsia="GHEA Grapalat" w:hAnsi="GHEA Grapalat" w:cs="GHEA Grapalat"/>
          <w:sz w:val="22"/>
          <w:szCs w:val="22"/>
        </w:rPr>
        <w:t xml:space="preserve"> է ՀՀ այցելած ՌԴ զբոսաշրջիկների թվաքանակի նվազմամբ (շուրջ </w:t>
      </w:r>
      <w:r w:rsidR="000F6BA3" w:rsidRPr="008040E9">
        <w:rPr>
          <w:rFonts w:ascii="GHEA Grapalat" w:eastAsia="GHEA Grapalat" w:hAnsi="GHEA Grapalat" w:cs="GHEA Grapalat"/>
          <w:sz w:val="22"/>
          <w:szCs w:val="22"/>
        </w:rPr>
        <w:t>199</w:t>
      </w:r>
      <w:r w:rsidR="00927AC7" w:rsidRPr="00345A1C">
        <w:rPr>
          <w:rFonts w:ascii="GHEA Grapalat" w:eastAsia="GHEA Grapalat" w:hAnsi="GHEA Grapalat" w:cs="GHEA Grapalat"/>
          <w:sz w:val="22"/>
          <w:szCs w:val="22"/>
        </w:rPr>
        <w:t xml:space="preserve"> հազար մարդով): Իսկ ՀՀ-ից մեկնած զբոսաշրջիկների թվաքանակը կազմել է շուրջ 1</w:t>
      </w:r>
      <w:r w:rsidR="002F6723" w:rsidRPr="008040E9">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679 հազար՝ աճելով 8.3%</w:t>
      </w:r>
      <w:r w:rsidR="002F6723" w:rsidRPr="008040E9">
        <w:rPr>
          <w:rFonts w:ascii="GHEA Grapalat" w:eastAsia="GHEA Grapalat" w:hAnsi="GHEA Grapalat" w:cs="GHEA Grapalat"/>
          <w:sz w:val="22"/>
          <w:szCs w:val="22"/>
        </w:rPr>
        <w:t>-ով</w:t>
      </w:r>
      <w:r w:rsidR="00927AC7" w:rsidRPr="00345A1C">
        <w:rPr>
          <w:rFonts w:ascii="GHEA Grapalat" w:eastAsia="GHEA Grapalat" w:hAnsi="GHEA Grapalat" w:cs="GHEA Grapalat"/>
          <w:sz w:val="22"/>
          <w:szCs w:val="22"/>
        </w:rPr>
        <w:t xml:space="preserve"> (շուրջ 129 հազար մարդով):</w:t>
      </w:r>
      <w:r w:rsidR="00927AC7" w:rsidRPr="00345A1C">
        <w:rPr>
          <w:rFonts w:ascii="GHEA Grapalat" w:hAnsi="GHEA Grapalat"/>
        </w:rPr>
        <w:t xml:space="preserve"> Ի</w:t>
      </w:r>
      <w:r w:rsidR="00927AC7" w:rsidRPr="00345A1C">
        <w:rPr>
          <w:rFonts w:ascii="GHEA Grapalat" w:eastAsia="GHEA Grapalat" w:hAnsi="GHEA Grapalat" w:cs="GHEA Grapalat"/>
          <w:sz w:val="22"/>
          <w:szCs w:val="22"/>
        </w:rPr>
        <w:t>նչպես նախորդ տարի</w:t>
      </w:r>
      <w:r>
        <w:rPr>
          <w:rFonts w:ascii="GHEA Grapalat" w:eastAsia="GHEA Grapalat" w:hAnsi="GHEA Grapalat" w:cs="GHEA Grapalat"/>
          <w:sz w:val="22"/>
          <w:szCs w:val="22"/>
        </w:rPr>
        <w:t>, 2024</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նույնպես</w:t>
      </w:r>
      <w:r w:rsidR="00B85C24">
        <w:rPr>
          <w:rFonts w:ascii="GHEA Grapalat" w:eastAsia="GHEA Grapalat" w:hAnsi="GHEA Grapalat" w:cs="GHEA Grapalat"/>
          <w:sz w:val="22"/>
          <w:szCs w:val="22"/>
        </w:rPr>
        <w:t xml:space="preserve"> </w:t>
      </w:r>
      <w:r w:rsidR="00927AC7" w:rsidRPr="00345A1C">
        <w:rPr>
          <w:rFonts w:ascii="GHEA Grapalat" w:eastAsia="GHEA Grapalat" w:hAnsi="GHEA Grapalat" w:cs="GHEA Grapalat"/>
          <w:sz w:val="22"/>
          <w:szCs w:val="22"/>
        </w:rPr>
        <w:t>ՀՀ այցելած զբոսաշրջիկների թվաքանակը բարձր է</w:t>
      </w:r>
      <w:r>
        <w:rPr>
          <w:rFonts w:ascii="GHEA Grapalat" w:eastAsia="GHEA Grapalat" w:hAnsi="GHEA Grapalat" w:cs="GHEA Grapalat"/>
          <w:sz w:val="22"/>
          <w:szCs w:val="22"/>
        </w:rPr>
        <w:t xml:space="preserve"> 2019</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նախահամավարակային ժամանակաշրջանի մակարդակից, սակայն այն տեղի է ունեցել միայն ՌԴ-ից զբոսաշրջի</w:t>
      </w:r>
      <w:r w:rsidR="002F6723" w:rsidRPr="00600CB1">
        <w:rPr>
          <w:rFonts w:ascii="GHEA Grapalat" w:eastAsia="GHEA Grapalat" w:hAnsi="GHEA Grapalat" w:cs="GHEA Grapalat"/>
          <w:sz w:val="22"/>
          <w:szCs w:val="22"/>
        </w:rPr>
        <w:t>կ</w:t>
      </w:r>
      <w:r w:rsidR="00927AC7" w:rsidRPr="00345A1C">
        <w:rPr>
          <w:rFonts w:ascii="GHEA Grapalat" w:eastAsia="GHEA Grapalat" w:hAnsi="GHEA Grapalat" w:cs="GHEA Grapalat"/>
          <w:sz w:val="22"/>
          <w:szCs w:val="22"/>
        </w:rPr>
        <w:t xml:space="preserve">ների աճի հաշվին </w:t>
      </w:r>
      <w:r w:rsidR="00927AC7" w:rsidRPr="00600CB1">
        <w:rPr>
          <w:rFonts w:ascii="GHEA Grapalat" w:eastAsia="GHEA Grapalat" w:hAnsi="GHEA Grapalat" w:cs="GHEA Grapalat"/>
          <w:sz w:val="22"/>
          <w:szCs w:val="22"/>
        </w:rPr>
        <w:t xml:space="preserve">(տե՛ս Գծապատկեր </w:t>
      </w:r>
      <w:r w:rsidR="00600CB1" w:rsidRPr="00600CB1">
        <w:rPr>
          <w:rFonts w:ascii="GHEA Grapalat" w:eastAsia="GHEA Grapalat" w:hAnsi="GHEA Grapalat" w:cs="GHEA Grapalat"/>
          <w:sz w:val="22"/>
          <w:szCs w:val="22"/>
        </w:rPr>
        <w:t>25</w:t>
      </w:r>
      <w:r w:rsidR="00927AC7" w:rsidRPr="00345A1C">
        <w:rPr>
          <w:rFonts w:ascii="GHEA Grapalat" w:eastAsia="GHEA Grapalat" w:hAnsi="GHEA Grapalat" w:cs="GHEA Grapalat"/>
          <w:sz w:val="22"/>
          <w:szCs w:val="22"/>
        </w:rPr>
        <w:t xml:space="preserve">): </w:t>
      </w:r>
    </w:p>
    <w:p w14:paraId="06595C78" w14:textId="7623A80E" w:rsidR="00927AC7" w:rsidRDefault="00927AC7" w:rsidP="00A32D2B">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sz w:val="22"/>
          <w:szCs w:val="22"/>
        </w:rPr>
        <w:t>Ծառայությունների արտահանման նվազմանը 10.7</w:t>
      </w:r>
      <w:r w:rsidR="0025536A">
        <w:rPr>
          <w:rFonts w:ascii="GHEA Grapalat" w:eastAsia="GHEA Grapalat" w:hAnsi="GHEA Grapalat" w:cs="GHEA Grapalat"/>
          <w:sz w:val="22"/>
          <w:szCs w:val="22"/>
        </w:rPr>
        <w:t xml:space="preserve"> տոկոսայ</w:t>
      </w:r>
      <w:r w:rsidRPr="00345A1C">
        <w:rPr>
          <w:rFonts w:ascii="GHEA Grapalat" w:eastAsia="GHEA Grapalat" w:hAnsi="GHEA Grapalat" w:cs="GHEA Grapalat"/>
          <w:sz w:val="22"/>
          <w:szCs w:val="22"/>
        </w:rPr>
        <w:t xml:space="preserve">ին կետով հակազդել </w:t>
      </w:r>
      <w:r w:rsidR="00AA283B" w:rsidRPr="008040E9">
        <w:rPr>
          <w:rFonts w:ascii="GHEA Grapalat" w:eastAsia="GHEA Grapalat" w:hAnsi="GHEA Grapalat" w:cs="GHEA Grapalat"/>
          <w:sz w:val="22"/>
          <w:szCs w:val="22"/>
        </w:rPr>
        <w:t>է</w:t>
      </w:r>
      <w:r w:rsidRPr="00345A1C">
        <w:rPr>
          <w:rFonts w:ascii="GHEA Grapalat" w:eastAsia="GHEA Grapalat" w:hAnsi="GHEA Grapalat" w:cs="GHEA Grapalat"/>
          <w:sz w:val="22"/>
          <w:szCs w:val="22"/>
        </w:rPr>
        <w:t xml:space="preserve"> ֆինանսական ծառայությունների, տրանսպորտի և հեռահաղորդակցության, համակարգչային և տեղեկատվական ծառայությունների արտահանման աճը:</w:t>
      </w:r>
    </w:p>
    <w:p w14:paraId="56A88C02" w14:textId="77777777" w:rsidR="00731FE8" w:rsidRPr="00345A1C" w:rsidRDefault="00731FE8" w:rsidP="00A32D2B">
      <w:pPr>
        <w:spacing w:line="276" w:lineRule="auto"/>
        <w:ind w:firstLine="567"/>
        <w:jc w:val="both"/>
        <w:rPr>
          <w:rFonts w:ascii="GHEA Grapalat" w:eastAsia="GHEA Grapalat" w:hAnsi="GHEA Grapalat" w:cs="GHEA Grapalat"/>
          <w:sz w:val="22"/>
          <w:szCs w:val="22"/>
        </w:rPr>
      </w:pPr>
    </w:p>
    <w:p w14:paraId="2D3D2E5D" w14:textId="7103E4C0" w:rsidR="00927AC7" w:rsidRPr="00345A1C" w:rsidRDefault="00927AC7" w:rsidP="00DE0E91">
      <w:pPr>
        <w:pStyle w:val="ab"/>
      </w:pPr>
      <w:r w:rsidRPr="00345A1C">
        <w:t xml:space="preserve">Գծապատկեր 25. ՀՀ այցելած զբոսաշրջիկների դինամիկան 2019-2024թթ., հազար մարդ </w:t>
      </w:r>
    </w:p>
    <w:p w14:paraId="1F2881E9" w14:textId="77777777" w:rsidR="00927AC7" w:rsidRPr="00345A1C" w:rsidRDefault="00927AC7" w:rsidP="00A32D2B">
      <w:pPr>
        <w:spacing w:line="276" w:lineRule="auto"/>
        <w:jc w:val="both"/>
        <w:rPr>
          <w:rFonts w:ascii="GHEA Grapalat" w:eastAsia="GHEA Grapalat" w:hAnsi="GHEA Grapalat" w:cs="GHEA Grapalat"/>
          <w:i/>
          <w:sz w:val="22"/>
          <w:szCs w:val="22"/>
        </w:rPr>
      </w:pPr>
      <w:r w:rsidRPr="00345A1C">
        <w:rPr>
          <w:rFonts w:ascii="GHEA Grapalat" w:eastAsia="GHEA Grapalat" w:hAnsi="GHEA Grapalat" w:cs="GHEA Grapalat"/>
          <w:i/>
          <w:sz w:val="22"/>
          <w:szCs w:val="22"/>
          <w:lang w:val="en-US"/>
        </w:rPr>
        <w:drawing>
          <wp:inline distT="0" distB="0" distL="0" distR="0" wp14:anchorId="0893A35B" wp14:editId="5BA1DE8C">
            <wp:extent cx="6381750" cy="2352675"/>
            <wp:effectExtent l="0" t="0" r="0" b="9525"/>
            <wp:docPr id="31"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00C9ADA" w14:textId="77777777" w:rsidR="00927AC7" w:rsidRPr="00345A1C" w:rsidRDefault="00927AC7" w:rsidP="00AA283B">
      <w:pPr>
        <w:spacing w:line="276" w:lineRule="auto"/>
        <w:jc w:val="both"/>
        <w:rPr>
          <w:rFonts w:ascii="GHEA Grapalat" w:eastAsia="GHEA Grapalat" w:hAnsi="GHEA Grapalat" w:cs="GHEA Grapalat"/>
          <w:i/>
          <w:sz w:val="16"/>
          <w:szCs w:val="16"/>
        </w:rPr>
      </w:pPr>
      <w:r w:rsidRPr="00345A1C">
        <w:rPr>
          <w:rFonts w:ascii="GHEA Grapalat" w:eastAsia="GHEA Grapalat" w:hAnsi="GHEA Grapalat" w:cs="GHEA Grapalat"/>
          <w:i/>
          <w:sz w:val="16"/>
          <w:szCs w:val="16"/>
        </w:rPr>
        <w:t>Աղբյուրը՝ ՀՀ ՎԿ</w:t>
      </w:r>
    </w:p>
    <w:p w14:paraId="2B3747F3" w14:textId="77777777" w:rsidR="00AA283B" w:rsidRPr="00AA283B" w:rsidRDefault="00AA283B" w:rsidP="00A32D2B">
      <w:pPr>
        <w:spacing w:line="276" w:lineRule="auto"/>
        <w:ind w:firstLine="567"/>
        <w:jc w:val="both"/>
        <w:rPr>
          <w:rFonts w:ascii="GHEA Grapalat" w:eastAsia="GHEA Grapalat" w:hAnsi="GHEA Grapalat" w:cs="GHEA Grapalat"/>
          <w:sz w:val="22"/>
          <w:szCs w:val="22"/>
        </w:rPr>
      </w:pPr>
    </w:p>
    <w:p w14:paraId="2E9D7F2A" w14:textId="75D3ADD0" w:rsidR="00927AC7" w:rsidRPr="00345A1C" w:rsidRDefault="00927AC7" w:rsidP="00A32D2B">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Դրամական փոխանցումներ:</w:t>
      </w:r>
      <w:r w:rsidR="0025536A">
        <w:rPr>
          <w:rFonts w:ascii="GHEA Grapalat" w:eastAsia="GHEA Grapalat" w:hAnsi="GHEA Grapalat" w:cs="GHEA Grapalat"/>
          <w:sz w:val="22"/>
          <w:szCs w:val="22"/>
        </w:rPr>
        <w:t xml:space="preserve">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շարունակվել է դեպի ՀՀ անձնական դրամական փոխանցումների զուտ ներհոսքի նվազումը՝ պայմանավորված հիմնականում ՌԴ-ից դրամական փոխանցումների ներհոսքի նվազման և </w:t>
      </w:r>
      <w:r w:rsidR="009D67D0">
        <w:rPr>
          <w:rFonts w:ascii="GHEA Grapalat" w:eastAsia="GHEA Grapalat" w:hAnsi="GHEA Grapalat" w:cs="GHEA Grapalat"/>
          <w:sz w:val="22"/>
          <w:szCs w:val="22"/>
        </w:rPr>
        <w:t xml:space="preserve">ընդհանուր </w:t>
      </w:r>
      <w:r w:rsidRPr="00345A1C">
        <w:rPr>
          <w:rFonts w:ascii="GHEA Grapalat" w:eastAsia="GHEA Grapalat" w:hAnsi="GHEA Grapalat" w:cs="GHEA Grapalat"/>
          <w:sz w:val="22"/>
          <w:szCs w:val="22"/>
        </w:rPr>
        <w:t>արտահոսքի աճով։</w:t>
      </w:r>
      <w:r w:rsidR="0025536A">
        <w:rPr>
          <w:rFonts w:ascii="GHEA Grapalat" w:eastAsia="GHEA Grapalat" w:hAnsi="GHEA Grapalat" w:cs="GHEA Grapalat"/>
          <w:sz w:val="22"/>
          <w:szCs w:val="22"/>
        </w:rPr>
        <w:t xml:space="preserve">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դրամական փոխանցումների զուտ ներհոսքը կազմել </w:t>
      </w:r>
      <w:r w:rsidR="00AA283B" w:rsidRPr="008040E9">
        <w:rPr>
          <w:rFonts w:ascii="GHEA Grapalat" w:eastAsia="GHEA Grapalat" w:hAnsi="GHEA Grapalat" w:cs="GHEA Grapalat"/>
          <w:sz w:val="22"/>
          <w:szCs w:val="22"/>
        </w:rPr>
        <w:t>է</w:t>
      </w:r>
      <w:r w:rsidRPr="00345A1C">
        <w:rPr>
          <w:rFonts w:ascii="GHEA Grapalat" w:eastAsia="GHEA Grapalat" w:hAnsi="GHEA Grapalat" w:cs="GHEA Grapalat"/>
          <w:sz w:val="22"/>
          <w:szCs w:val="22"/>
        </w:rPr>
        <w:t xml:space="preserve"> շուրջ 573.5 մլն դոլար՝ նախորդ տարվա նկատմամբ նվազելով 34.8%-ով:</w:t>
      </w:r>
    </w:p>
    <w:p w14:paraId="6B2447F2" w14:textId="5A0BEEA4" w:rsidR="00927AC7" w:rsidRDefault="00927AC7" w:rsidP="00927AC7">
      <w:pPr>
        <w:spacing w:line="360" w:lineRule="auto"/>
        <w:ind w:firstLine="567"/>
        <w:jc w:val="both"/>
        <w:rPr>
          <w:rFonts w:ascii="GHEA Grapalat" w:eastAsia="GHEA Grapalat" w:hAnsi="GHEA Grapalat" w:cs="GHEA Grapalat"/>
          <w:sz w:val="22"/>
          <w:szCs w:val="22"/>
        </w:rPr>
      </w:pPr>
    </w:p>
    <w:p w14:paraId="16CEF2C8" w14:textId="77777777" w:rsidR="007C37D8" w:rsidRPr="00345A1C" w:rsidRDefault="007C37D8" w:rsidP="00927AC7">
      <w:pPr>
        <w:spacing w:line="360" w:lineRule="auto"/>
        <w:ind w:firstLine="567"/>
        <w:jc w:val="both"/>
        <w:rPr>
          <w:rFonts w:ascii="GHEA Grapalat" w:eastAsia="GHEA Grapalat" w:hAnsi="GHEA Grapalat" w:cs="GHEA Grapalat"/>
          <w:sz w:val="22"/>
          <w:szCs w:val="22"/>
        </w:rPr>
      </w:pPr>
    </w:p>
    <w:p w14:paraId="71CBAC6C" w14:textId="77777777" w:rsidR="00441A2F" w:rsidRPr="00220D60" w:rsidRDefault="00441A2F" w:rsidP="00220D60">
      <w:pPr>
        <w:pStyle w:val="Heading4"/>
        <w:numPr>
          <w:ilvl w:val="3"/>
          <w:numId w:val="10"/>
        </w:numPr>
        <w:tabs>
          <w:tab w:val="left" w:pos="709"/>
        </w:tabs>
        <w:spacing w:after="240"/>
        <w:ind w:left="993" w:hanging="993"/>
        <w:rPr>
          <w:i w:val="0"/>
          <w:sz w:val="24"/>
          <w:szCs w:val="24"/>
        </w:rPr>
      </w:pPr>
      <w:r w:rsidRPr="00220D60">
        <w:rPr>
          <w:i w:val="0"/>
          <w:sz w:val="24"/>
          <w:szCs w:val="24"/>
        </w:rPr>
        <w:lastRenderedPageBreak/>
        <w:t>Արժութային շուկա և փոխարժեքներ</w:t>
      </w:r>
    </w:p>
    <w:p w14:paraId="2DA2A212" w14:textId="4E0C1FBE" w:rsidR="00441A2F" w:rsidRPr="00345A1C" w:rsidRDefault="00441A2F" w:rsidP="00BA51DF">
      <w:pPr>
        <w:spacing w:line="276" w:lineRule="auto"/>
        <w:ind w:firstLine="708"/>
        <w:jc w:val="both"/>
        <w:rPr>
          <w:rFonts w:ascii="GHEA Grapalat" w:hAnsi="GHEA Grapalat"/>
          <w:sz w:val="22"/>
          <w:szCs w:val="22"/>
        </w:rPr>
      </w:pPr>
      <w:r w:rsidRPr="00345A1C">
        <w:rPr>
          <w:rFonts w:ascii="GHEA Grapalat" w:hAnsi="GHEA Grapalat" w:cs="GHEA Grapalat"/>
          <w:b/>
          <w:i/>
          <w:sz w:val="22"/>
          <w:szCs w:val="22"/>
        </w:rPr>
        <w:t xml:space="preserve">Ֆիզիկական անձանց փոխանցումներ։ </w:t>
      </w:r>
      <w:r w:rsidRPr="00345A1C">
        <w:rPr>
          <w:rFonts w:ascii="GHEA Grapalat" w:hAnsi="GHEA Grapalat"/>
          <w:sz w:val="22"/>
          <w:szCs w:val="22"/>
        </w:rPr>
        <w:t>Դեպի ՀՀ ֆիզիկական</w:t>
      </w:r>
      <w:r w:rsidR="0025536A">
        <w:rPr>
          <w:rFonts w:ascii="GHEA Grapalat" w:hAnsi="GHEA Grapalat"/>
          <w:sz w:val="22"/>
          <w:szCs w:val="22"/>
        </w:rPr>
        <w:t xml:space="preserve"> անձանց զուտ փոխանցումները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շարունակել են մնալ բարձր մակարդակում, սակայն 202</w:t>
      </w:r>
      <w:r w:rsidR="0025536A">
        <w:rPr>
          <w:rFonts w:ascii="GHEA Grapalat" w:hAnsi="GHEA Grapalat"/>
          <w:sz w:val="22"/>
          <w:szCs w:val="22"/>
        </w:rPr>
        <w:t>3</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համեմատ նվազել են։ ՀՀ բանկերի միջոցով ֆիզիկական անձանց անուն</w:t>
      </w:r>
      <w:r w:rsidR="005907B5">
        <w:rPr>
          <w:rFonts w:ascii="GHEA Grapalat" w:hAnsi="GHEA Grapalat"/>
          <w:sz w:val="22"/>
          <w:szCs w:val="22"/>
        </w:rPr>
        <w:t>ով արտերկրներից մուտք եղած և ՀՀ</w:t>
      </w:r>
      <w:r w:rsidR="005907B5">
        <w:rPr>
          <w:rFonts w:ascii="GHEA Grapalat" w:hAnsi="GHEA Grapalat"/>
          <w:sz w:val="22"/>
          <w:szCs w:val="22"/>
        </w:rPr>
        <w:noBreakHyphen/>
      </w:r>
      <w:r w:rsidRPr="00345A1C">
        <w:rPr>
          <w:rFonts w:ascii="GHEA Grapalat" w:hAnsi="GHEA Grapalat"/>
          <w:sz w:val="22"/>
          <w:szCs w:val="22"/>
        </w:rPr>
        <w:t>ից արտերկիր կատարված առևտրային և ոչ առևտրային ն</w:t>
      </w:r>
      <w:r w:rsidR="0025536A">
        <w:rPr>
          <w:rFonts w:ascii="GHEA Grapalat" w:hAnsi="GHEA Grapalat"/>
          <w:sz w:val="22"/>
          <w:szCs w:val="22"/>
        </w:rPr>
        <w:t>պատակով զուտ փոխանցումները 2024</w:t>
      </w:r>
      <w:r w:rsidRPr="00345A1C">
        <w:rPr>
          <w:rFonts w:ascii="GHEA Grapalat" w:hAnsi="GHEA Grapalat"/>
          <w:sz w:val="22"/>
          <w:szCs w:val="22"/>
        </w:rPr>
        <w:t>թ</w:t>
      </w:r>
      <w:r w:rsidR="0025536A">
        <w:rPr>
          <w:rFonts w:ascii="GHEA Grapalat" w:hAnsi="GHEA Grapalat"/>
          <w:sz w:val="22"/>
          <w:szCs w:val="22"/>
        </w:rPr>
        <w:t>. կազմել են 1.5 մլրդ դոլար՝ 2023</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1.7 մլրդ դոլարի համեմատ նվազելով 8</w:t>
      </w:r>
      <w:r w:rsidRPr="00345A1C">
        <w:rPr>
          <w:rFonts w:ascii="Cambria Math" w:hAnsi="Cambria Math" w:cs="Cambria Math"/>
          <w:sz w:val="22"/>
          <w:szCs w:val="22"/>
        </w:rPr>
        <w:t>․</w:t>
      </w:r>
      <w:r w:rsidRPr="00345A1C">
        <w:rPr>
          <w:rFonts w:ascii="GHEA Grapalat" w:hAnsi="GHEA Grapalat"/>
          <w:sz w:val="22"/>
          <w:szCs w:val="22"/>
        </w:rPr>
        <w:t>8%-ով: Ընդ որում, ՌԴ-ից զուտ փոխանցումները 2024թ</w:t>
      </w:r>
      <w:r w:rsidR="0025536A">
        <w:rPr>
          <w:rFonts w:ascii="GHEA Grapalat" w:hAnsi="GHEA Grapalat"/>
          <w:sz w:val="22"/>
          <w:szCs w:val="22"/>
        </w:rPr>
        <w:t>.</w:t>
      </w:r>
      <w:r w:rsidRPr="00345A1C">
        <w:rPr>
          <w:rFonts w:ascii="GHEA Grapalat" w:hAnsi="GHEA Grapalat"/>
          <w:sz w:val="22"/>
          <w:szCs w:val="22"/>
        </w:rPr>
        <w:t xml:space="preserve"> կազմել են 3.1 մլրդ դոլար՝ նախորդ տարվա</w:t>
      </w:r>
      <w:r w:rsidR="00733133" w:rsidRPr="00345A1C">
        <w:rPr>
          <w:rFonts w:ascii="GHEA Grapalat" w:hAnsi="GHEA Grapalat"/>
          <w:sz w:val="22"/>
          <w:szCs w:val="22"/>
        </w:rPr>
        <w:t xml:space="preserve"> 3.3 մլրդ դրամի</w:t>
      </w:r>
      <w:r w:rsidRPr="00345A1C">
        <w:rPr>
          <w:rFonts w:ascii="GHEA Grapalat" w:hAnsi="GHEA Grapalat"/>
          <w:sz w:val="22"/>
          <w:szCs w:val="22"/>
        </w:rPr>
        <w:t xml:space="preserve"> համեմ</w:t>
      </w:r>
      <w:r w:rsidR="0025536A">
        <w:rPr>
          <w:rFonts w:ascii="GHEA Grapalat" w:hAnsi="GHEA Grapalat"/>
          <w:sz w:val="22"/>
          <w:szCs w:val="22"/>
        </w:rPr>
        <w:t>ատ նվազելով շուրջ 5.2%-ով։ 2022</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երկրորդ եռամսյակից սկիզբ առած</w:t>
      </w:r>
      <w:r w:rsidR="00AE6AFB" w:rsidRPr="008040E9">
        <w:rPr>
          <w:rFonts w:ascii="GHEA Grapalat" w:hAnsi="GHEA Grapalat"/>
          <w:sz w:val="22"/>
          <w:szCs w:val="22"/>
        </w:rPr>
        <w:t>՝</w:t>
      </w:r>
      <w:r w:rsidRPr="00345A1C">
        <w:rPr>
          <w:rFonts w:ascii="GHEA Grapalat" w:hAnsi="GHEA Grapalat"/>
          <w:sz w:val="22"/>
          <w:szCs w:val="22"/>
        </w:rPr>
        <w:t xml:space="preserve"> այլ երկրներ արտահոսքի ցուցանիշը գերազանցել է ներհոսքի</w:t>
      </w:r>
      <w:r w:rsidR="00AE6AFB" w:rsidRPr="008040E9">
        <w:rPr>
          <w:rFonts w:ascii="GHEA Grapalat" w:hAnsi="GHEA Grapalat"/>
          <w:sz w:val="22"/>
          <w:szCs w:val="22"/>
        </w:rPr>
        <w:t xml:space="preserve"> ցուցանիշ</w:t>
      </w:r>
      <w:r w:rsidRPr="00345A1C">
        <w:rPr>
          <w:rFonts w:ascii="GHEA Grapalat" w:hAnsi="GHEA Grapalat"/>
          <w:sz w:val="22"/>
          <w:szCs w:val="22"/>
        </w:rPr>
        <w:t>ը՝ հանգեցնելով դեպի այլ երկրներ փոխանցումների բացասական զ</w:t>
      </w:r>
      <w:r w:rsidR="0025536A">
        <w:rPr>
          <w:rFonts w:ascii="GHEA Grapalat" w:hAnsi="GHEA Grapalat"/>
          <w:sz w:val="22"/>
          <w:szCs w:val="22"/>
        </w:rPr>
        <w:t>ուտ ներհոսքի: Արդյունքում,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տարեսկզբին ավելացած արտարժույթի ծավալները նվազել են՝ մնալով բարձր մակարդակում։</w:t>
      </w:r>
    </w:p>
    <w:p w14:paraId="533069AD" w14:textId="77777777" w:rsidR="00441A2F" w:rsidRPr="00345A1C" w:rsidRDefault="00441A2F" w:rsidP="00441A2F">
      <w:pPr>
        <w:spacing w:line="276" w:lineRule="auto"/>
        <w:ind w:firstLine="567"/>
        <w:jc w:val="both"/>
        <w:rPr>
          <w:rFonts w:ascii="GHEA Grapalat" w:hAnsi="GHEA Grapalat"/>
          <w:sz w:val="22"/>
          <w:szCs w:val="22"/>
        </w:rPr>
      </w:pPr>
    </w:p>
    <w:p w14:paraId="0352E339" w14:textId="145C9A3B" w:rsidR="00441A2F" w:rsidRPr="00345A1C" w:rsidRDefault="000C7777" w:rsidP="00DE0E91">
      <w:pPr>
        <w:pStyle w:val="ab"/>
      </w:pPr>
      <w:r w:rsidRPr="00345A1C">
        <w:t xml:space="preserve">Գծապատկեր 26. </w:t>
      </w:r>
      <w:r w:rsidR="00441A2F" w:rsidRPr="00345A1C">
        <w:t xml:space="preserve">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1DE3BF3A" w14:textId="77777777" w:rsidR="00441A2F" w:rsidRPr="00345A1C" w:rsidRDefault="00441A2F" w:rsidP="00660DA4">
      <w:pPr>
        <w:spacing w:line="276" w:lineRule="auto"/>
        <w:jc w:val="both"/>
        <w:rPr>
          <w:rFonts w:ascii="GHEA Grapalat" w:eastAsia="GHEA Grapalat" w:hAnsi="GHEA Grapalat"/>
          <w:b/>
          <w:sz w:val="22"/>
          <w:szCs w:val="22"/>
        </w:rPr>
      </w:pPr>
      <w:r w:rsidRPr="00345A1C">
        <w:rPr>
          <w:rFonts w:ascii="GHEA Grapalat" w:eastAsia="GHEA Grapalat" w:hAnsi="GHEA Grapalat"/>
          <w:b/>
          <w:sz w:val="22"/>
          <w:szCs w:val="22"/>
          <w:lang w:val="en-US"/>
        </w:rPr>
        <w:drawing>
          <wp:inline distT="0" distB="0" distL="0" distR="0" wp14:anchorId="1965EEA6" wp14:editId="4AC7B483">
            <wp:extent cx="6448425" cy="2416810"/>
            <wp:effectExtent l="0" t="0" r="9525" b="2540"/>
            <wp:docPr id="9" name="Objec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52BCC6B" w14:textId="77777777" w:rsidR="00441A2F" w:rsidRPr="00345A1C" w:rsidRDefault="00441A2F" w:rsidP="005907B5">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p>
    <w:p w14:paraId="3C4E0621" w14:textId="77777777" w:rsidR="00441A2F" w:rsidRPr="00345A1C" w:rsidRDefault="00441A2F" w:rsidP="00441A2F">
      <w:pPr>
        <w:spacing w:line="276" w:lineRule="auto"/>
        <w:ind w:firstLine="567"/>
        <w:jc w:val="both"/>
        <w:rPr>
          <w:rFonts w:ascii="GHEA Grapalat" w:hAnsi="GHEA Grapalat"/>
          <w:sz w:val="22"/>
          <w:szCs w:val="22"/>
        </w:rPr>
      </w:pPr>
    </w:p>
    <w:p w14:paraId="184DF0FD" w14:textId="6C4230EB"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 xml:space="preserve">Արժութային շուկա։ </w:t>
      </w:r>
      <w:r w:rsidRPr="00345A1C">
        <w:rPr>
          <w:rFonts w:ascii="GHEA Grapalat" w:hAnsi="GHEA Grapalat"/>
          <w:sz w:val="22"/>
          <w:szCs w:val="22"/>
        </w:rPr>
        <w:t>ՀՀ արժութային շուկայի շրջանառության ծավալները 202</w:t>
      </w:r>
      <w:r w:rsidR="00B20705" w:rsidRPr="00345A1C">
        <w:rPr>
          <w:rFonts w:ascii="GHEA Grapalat" w:hAnsi="GHEA Grapalat"/>
          <w:sz w:val="22"/>
          <w:szCs w:val="22"/>
        </w:rPr>
        <w:t>3</w:t>
      </w:r>
      <w:r w:rsidRPr="00345A1C">
        <w:rPr>
          <w:rFonts w:ascii="GHEA Grapalat" w:hAnsi="GHEA Grapalat"/>
          <w:sz w:val="22"/>
          <w:szCs w:val="22"/>
        </w:rPr>
        <w:t>թ</w:t>
      </w:r>
      <w:r w:rsidR="0025536A">
        <w:rPr>
          <w:rFonts w:ascii="GHEA Grapalat" w:hAnsi="GHEA Grapalat"/>
          <w:sz w:val="22"/>
          <w:szCs w:val="22"/>
        </w:rPr>
        <w:t>. ծավալների համեմատ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w:t>
      </w:r>
      <w:r w:rsidR="00B20705" w:rsidRPr="00345A1C">
        <w:rPr>
          <w:rFonts w:ascii="GHEA Grapalat" w:hAnsi="GHEA Grapalat"/>
          <w:sz w:val="22"/>
          <w:szCs w:val="22"/>
        </w:rPr>
        <w:t>ավելացել են, թեև զուտ առք</w:t>
      </w:r>
      <w:r w:rsidR="00FA0572" w:rsidRPr="00345A1C">
        <w:rPr>
          <w:rFonts w:ascii="GHEA Grapalat" w:hAnsi="GHEA Grapalat"/>
          <w:sz w:val="22"/>
          <w:szCs w:val="22"/>
        </w:rPr>
        <w:t>ը</w:t>
      </w:r>
      <w:r w:rsidR="00B20705" w:rsidRPr="00345A1C">
        <w:rPr>
          <w:rFonts w:ascii="GHEA Grapalat" w:hAnsi="GHEA Grapalat"/>
          <w:sz w:val="22"/>
          <w:szCs w:val="22"/>
        </w:rPr>
        <w:t xml:space="preserve"> կրճատվել է</w:t>
      </w:r>
      <w:r w:rsidRPr="00345A1C">
        <w:rPr>
          <w:rFonts w:ascii="GHEA Grapalat" w:hAnsi="GHEA Grapalat"/>
          <w:sz w:val="22"/>
          <w:szCs w:val="22"/>
        </w:rPr>
        <w:t>: Հաշվետու տարում արտարժույթի ներբանկային առքի և վաճառքի ծավալները հիմնականում մոտ են եղ</w:t>
      </w:r>
      <w:r w:rsidR="0025536A">
        <w:rPr>
          <w:rFonts w:ascii="GHEA Grapalat" w:hAnsi="GHEA Grapalat"/>
          <w:sz w:val="22"/>
          <w:szCs w:val="22"/>
        </w:rPr>
        <w:t>ել և հասել են գագաթնակետին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հունիսին՝ պայմանավորված ռուբլու առքով և դոլարի վաճառքով, այնուհետև ծավալները սկսել են կրճատվել։</w:t>
      </w:r>
      <w:r w:rsidR="00B85C24">
        <w:rPr>
          <w:rFonts w:ascii="GHEA Grapalat" w:hAnsi="GHEA Grapalat"/>
          <w:sz w:val="22"/>
          <w:szCs w:val="22"/>
        </w:rPr>
        <w:t xml:space="preserve"> </w:t>
      </w:r>
    </w:p>
    <w:p w14:paraId="0122DAF4" w14:textId="43822926"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hAnsi="GHEA Grapalat"/>
          <w:sz w:val="22"/>
          <w:szCs w:val="22"/>
        </w:rPr>
        <w:t xml:space="preserve"> ՀՀ կենտրոնական բանկն արժութային շուկայում իրականացր</w:t>
      </w:r>
      <w:r w:rsidR="00660DA4">
        <w:rPr>
          <w:rFonts w:ascii="GHEA Grapalat" w:hAnsi="GHEA Grapalat"/>
          <w:sz w:val="22"/>
          <w:szCs w:val="22"/>
        </w:rPr>
        <w:t>ել է միջամտություններ շուրջ 706</w:t>
      </w:r>
      <w:r w:rsidR="00660DA4" w:rsidRPr="008040E9">
        <w:rPr>
          <w:rFonts w:ascii="Calibri" w:hAnsi="Calibri" w:cs="Calibri"/>
          <w:sz w:val="22"/>
          <w:szCs w:val="22"/>
        </w:rPr>
        <w:t> </w:t>
      </w:r>
      <w:r w:rsidRPr="00345A1C">
        <w:rPr>
          <w:rFonts w:ascii="GHEA Grapalat" w:hAnsi="GHEA Grapalat"/>
          <w:sz w:val="22"/>
          <w:szCs w:val="22"/>
        </w:rPr>
        <w:t>մլն ԱՄՆ դոլարի չափով (զուտ առք)՝ ավելորդ տատանողականությունը չեզոքացնելու նպատակով։</w:t>
      </w:r>
    </w:p>
    <w:p w14:paraId="3136693B" w14:textId="77777777" w:rsidR="00441A2F" w:rsidRPr="00345A1C" w:rsidRDefault="00441A2F" w:rsidP="00441A2F">
      <w:pPr>
        <w:spacing w:line="276" w:lineRule="auto"/>
        <w:ind w:firstLine="567"/>
        <w:jc w:val="both"/>
        <w:rPr>
          <w:rFonts w:ascii="GHEA Grapalat" w:hAnsi="GHEA Grapalat"/>
          <w:sz w:val="22"/>
          <w:szCs w:val="22"/>
        </w:rPr>
      </w:pPr>
    </w:p>
    <w:tbl>
      <w:tblPr>
        <w:tblW w:w="5082" w:type="pct"/>
        <w:tblLook w:val="04A0" w:firstRow="1" w:lastRow="0" w:firstColumn="1" w:lastColumn="0" w:noHBand="0" w:noVBand="1"/>
      </w:tblPr>
      <w:tblGrid>
        <w:gridCol w:w="5231"/>
        <w:gridCol w:w="5144"/>
      </w:tblGrid>
      <w:tr w:rsidR="00441A2F" w:rsidRPr="00345A1C" w14:paraId="65B25375" w14:textId="77777777" w:rsidTr="00A84B7B">
        <w:trPr>
          <w:trHeight w:val="701"/>
        </w:trPr>
        <w:tc>
          <w:tcPr>
            <w:tcW w:w="2521" w:type="pct"/>
            <w:shd w:val="clear" w:color="auto" w:fill="auto"/>
          </w:tcPr>
          <w:p w14:paraId="0F6FC4D2" w14:textId="19C9E566" w:rsidR="00441A2F" w:rsidRPr="00345A1C" w:rsidRDefault="000C7777" w:rsidP="00E61851">
            <w:pPr>
              <w:pStyle w:val="ab"/>
            </w:pPr>
            <w:r w:rsidRPr="00345A1C">
              <w:lastRenderedPageBreak/>
              <w:t>Գծապատկեր 27.</w:t>
            </w:r>
            <w:r w:rsidR="00B85C24">
              <w:t xml:space="preserve"> </w:t>
            </w:r>
            <w:r w:rsidR="00441A2F" w:rsidRPr="00345A1C">
              <w:t>ՀՀ արժութային (ներբանկային) շուկայի շրջանառության տվյալներն ըստ դրամային համարժեքների, մլրդ դրամ</w:t>
            </w:r>
          </w:p>
        </w:tc>
        <w:tc>
          <w:tcPr>
            <w:tcW w:w="2479" w:type="pct"/>
            <w:shd w:val="clear" w:color="auto" w:fill="auto"/>
          </w:tcPr>
          <w:p w14:paraId="4DDE56BC" w14:textId="6A13908F" w:rsidR="00441A2F" w:rsidRPr="00345A1C" w:rsidRDefault="000C7777" w:rsidP="00E61851">
            <w:pPr>
              <w:pStyle w:val="ab"/>
            </w:pPr>
            <w:r w:rsidRPr="00345A1C">
              <w:t>Գծապատկեր 28.</w:t>
            </w:r>
            <w:r w:rsidR="00B85C24">
              <w:t xml:space="preserve"> </w:t>
            </w:r>
            <w:r w:rsidR="00441A2F" w:rsidRPr="00345A1C">
              <w:t xml:space="preserve">Փոխարժեք և ՀՀ ԿԲ արձագանք </w:t>
            </w:r>
          </w:p>
        </w:tc>
      </w:tr>
      <w:tr w:rsidR="00441A2F" w:rsidRPr="00345A1C" w14:paraId="100FC4CF" w14:textId="77777777" w:rsidTr="00A84B7B">
        <w:trPr>
          <w:trHeight w:val="3912"/>
        </w:trPr>
        <w:tc>
          <w:tcPr>
            <w:tcW w:w="2521" w:type="pct"/>
            <w:shd w:val="clear" w:color="auto" w:fill="auto"/>
          </w:tcPr>
          <w:p w14:paraId="053899E8" w14:textId="77777777" w:rsidR="00441A2F" w:rsidRPr="00345A1C" w:rsidRDefault="00441A2F" w:rsidP="00A84B7B">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anchor distT="0" distB="0" distL="114300" distR="114300" simplePos="0" relativeHeight="251668992" behindDoc="0" locked="0" layoutInCell="1" allowOverlap="1" wp14:anchorId="5340C2B6" wp14:editId="7D1DB117">
                  <wp:simplePos x="0" y="0"/>
                  <wp:positionH relativeFrom="column">
                    <wp:posOffset>-7620</wp:posOffset>
                  </wp:positionH>
                  <wp:positionV relativeFrom="paragraph">
                    <wp:posOffset>-3174</wp:posOffset>
                  </wp:positionV>
                  <wp:extent cx="3211755" cy="2324100"/>
                  <wp:effectExtent l="0" t="0" r="8255" b="0"/>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tc>
        <w:tc>
          <w:tcPr>
            <w:tcW w:w="2479" w:type="pct"/>
            <w:shd w:val="clear" w:color="auto" w:fill="auto"/>
          </w:tcPr>
          <w:p w14:paraId="67750A0F" w14:textId="77777777" w:rsidR="00441A2F" w:rsidRPr="00345A1C" w:rsidRDefault="00441A2F" w:rsidP="00A84B7B">
            <w:pPr>
              <w:spacing w:line="276" w:lineRule="auto"/>
              <w:jc w:val="both"/>
              <w:rPr>
                <w:rFonts w:ascii="GHEA Grapalat" w:eastAsia="GHEA Grapalat" w:hAnsi="GHEA Grapalat" w:cs="GHEA Grapalat"/>
                <w:color w:val="31849B" w:themeColor="accent5" w:themeShade="BF"/>
                <w:sz w:val="16"/>
                <w:szCs w:val="16"/>
              </w:rPr>
            </w:pPr>
            <w:r w:rsidRPr="00345A1C">
              <w:rPr>
                <w:rFonts w:ascii="GHEA Grapalat" w:hAnsi="GHEA Grapalat"/>
                <w:color w:val="31849B" w:themeColor="accent5" w:themeShade="BF"/>
                <w:sz w:val="16"/>
                <w:szCs w:val="16"/>
                <w:lang w:val="en-US"/>
              </w:rPr>
              <w:drawing>
                <wp:anchor distT="0" distB="0" distL="114300" distR="114300" simplePos="0" relativeHeight="251670016" behindDoc="0" locked="0" layoutInCell="1" allowOverlap="1" wp14:anchorId="5809A255" wp14:editId="3BAB0011">
                  <wp:simplePos x="0" y="0"/>
                  <wp:positionH relativeFrom="page">
                    <wp:posOffset>-3175</wp:posOffset>
                  </wp:positionH>
                  <wp:positionV relativeFrom="paragraph">
                    <wp:posOffset>-3175</wp:posOffset>
                  </wp:positionV>
                  <wp:extent cx="3162300" cy="2324100"/>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page">
                    <wp14:pctHeight>0</wp14:pctHeight>
                  </wp14:sizeRelV>
                </wp:anchor>
              </w:drawing>
            </w:r>
          </w:p>
        </w:tc>
      </w:tr>
      <w:tr w:rsidR="00441A2F" w:rsidRPr="00345A1C" w14:paraId="69A77DCB" w14:textId="77777777" w:rsidTr="00A84B7B">
        <w:trPr>
          <w:trHeight w:val="306"/>
        </w:trPr>
        <w:tc>
          <w:tcPr>
            <w:tcW w:w="2521" w:type="pct"/>
            <w:shd w:val="clear" w:color="auto" w:fill="auto"/>
          </w:tcPr>
          <w:p w14:paraId="47FDE721" w14:textId="77777777" w:rsidR="00441A2F" w:rsidRPr="00345A1C" w:rsidRDefault="00441A2F" w:rsidP="00A84B7B">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c>
          <w:tcPr>
            <w:tcW w:w="2479" w:type="pct"/>
            <w:shd w:val="clear" w:color="auto" w:fill="auto"/>
          </w:tcPr>
          <w:p w14:paraId="7298C416" w14:textId="77777777" w:rsidR="00441A2F" w:rsidRPr="00345A1C" w:rsidRDefault="00441A2F" w:rsidP="00A84B7B">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r>
    </w:tbl>
    <w:p w14:paraId="5991D40C" w14:textId="77777777" w:rsidR="00441A2F" w:rsidRPr="00345A1C" w:rsidRDefault="00441A2F" w:rsidP="00ED3B59">
      <w:pPr>
        <w:spacing w:line="276" w:lineRule="auto"/>
        <w:ind w:firstLine="567"/>
        <w:jc w:val="both"/>
        <w:rPr>
          <w:rFonts w:ascii="GHEA Grapalat" w:eastAsia="GHEA Grapalat" w:hAnsi="GHEA Grapalat" w:cs="GHEA Grapalat"/>
          <w:sz w:val="22"/>
          <w:szCs w:val="22"/>
        </w:rPr>
      </w:pPr>
    </w:p>
    <w:p w14:paraId="4A80C180" w14:textId="7E055E47" w:rsidR="00441A2F" w:rsidRPr="00345A1C" w:rsidRDefault="00441A2F" w:rsidP="00441A2F">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iCs/>
          <w:sz w:val="22"/>
          <w:szCs w:val="22"/>
        </w:rPr>
        <w:t>Երկկողմանի փոխարժեքներ։</w:t>
      </w:r>
      <w:r w:rsidRPr="00345A1C">
        <w:rPr>
          <w:rFonts w:ascii="GHEA Grapalat" w:eastAsia="GHEA Grapalat" w:hAnsi="GHEA Grapalat" w:cs="GHEA Grapalat"/>
          <w:b/>
          <w:sz w:val="22"/>
          <w:szCs w:val="22"/>
        </w:rPr>
        <w:t xml:space="preserve"> </w:t>
      </w:r>
      <w:r w:rsidRPr="00345A1C">
        <w:rPr>
          <w:rFonts w:ascii="GHEA Grapalat" w:eastAsia="GHEA Grapalat" w:hAnsi="GHEA Grapalat" w:cs="GHEA Grapalat"/>
          <w:bCs/>
          <w:sz w:val="22"/>
          <w:szCs w:val="22"/>
        </w:rPr>
        <w:t xml:space="preserve">Հաշվետու </w:t>
      </w:r>
      <w:r w:rsidR="00D43E19" w:rsidRPr="008040E9">
        <w:rPr>
          <w:rFonts w:ascii="GHEA Grapalat" w:eastAsia="GHEA Grapalat" w:hAnsi="GHEA Grapalat" w:cs="GHEA Grapalat"/>
          <w:bCs/>
          <w:sz w:val="22"/>
          <w:szCs w:val="22"/>
        </w:rPr>
        <w:t>տար</w:t>
      </w:r>
      <w:r w:rsidRPr="00345A1C">
        <w:rPr>
          <w:rFonts w:ascii="GHEA Grapalat" w:eastAsia="GHEA Grapalat" w:hAnsi="GHEA Grapalat" w:cs="GHEA Grapalat"/>
          <w:bCs/>
          <w:sz w:val="22"/>
          <w:szCs w:val="22"/>
        </w:rPr>
        <w:t xml:space="preserve">ում ՀՀ դրամը ԱՄՆ դոլարի և եվրոյի նկատմամբ </w:t>
      </w:r>
      <w:r w:rsidR="00224085" w:rsidRPr="00345A1C">
        <w:rPr>
          <w:rFonts w:ascii="GHEA Grapalat" w:eastAsia="GHEA Grapalat" w:hAnsi="GHEA Grapalat" w:cs="GHEA Grapalat"/>
          <w:bCs/>
          <w:sz w:val="22"/>
          <w:szCs w:val="22"/>
        </w:rPr>
        <w:t xml:space="preserve">միջինում չնչին </w:t>
      </w:r>
      <w:r w:rsidRPr="00345A1C">
        <w:rPr>
          <w:rFonts w:ascii="GHEA Grapalat" w:eastAsia="GHEA Grapalat" w:hAnsi="GHEA Grapalat" w:cs="GHEA Grapalat"/>
          <w:bCs/>
          <w:sz w:val="22"/>
          <w:szCs w:val="22"/>
        </w:rPr>
        <w:t>արժեզրկվել է, իսկ ՌԴ ռուբլու նկատմամբ շարունակել է արժևորվել` պայմանավորված արտարժույթի ներհոսքի դանդաղմամբ: ԱՄՆ դոլարի և եվրոյի նկատմամբ 2024թ</w:t>
      </w:r>
      <w:r w:rsidRPr="00345A1C">
        <w:rPr>
          <w:rFonts w:ascii="Cambria Math" w:eastAsia="GHEA Grapalat" w:hAnsi="Cambria Math" w:cs="Cambria Math"/>
          <w:bCs/>
          <w:sz w:val="22"/>
          <w:szCs w:val="22"/>
        </w:rPr>
        <w:t>․</w:t>
      </w:r>
      <w:r w:rsidRPr="00345A1C">
        <w:rPr>
          <w:rFonts w:ascii="GHEA Grapalat" w:eastAsia="GHEA Grapalat" w:hAnsi="GHEA Grapalat" w:cs="GHEA Grapalat"/>
          <w:bCs/>
          <w:sz w:val="22"/>
          <w:szCs w:val="22"/>
        </w:rPr>
        <w:t xml:space="preserve"> արժեզրկվել է 0</w:t>
      </w:r>
      <w:r w:rsidRPr="00345A1C">
        <w:rPr>
          <w:rFonts w:ascii="Cambria Math" w:eastAsia="GHEA Grapalat" w:hAnsi="Cambria Math" w:cs="Cambria Math"/>
          <w:bCs/>
          <w:sz w:val="22"/>
          <w:szCs w:val="22"/>
        </w:rPr>
        <w:t>․</w:t>
      </w:r>
      <w:r w:rsidRPr="00345A1C">
        <w:rPr>
          <w:rFonts w:ascii="GHEA Grapalat" w:eastAsia="GHEA Grapalat" w:hAnsi="GHEA Grapalat" w:cs="GHEA Grapalat"/>
          <w:bCs/>
          <w:sz w:val="22"/>
          <w:szCs w:val="22"/>
        </w:rPr>
        <w:t>1</w:t>
      </w:r>
      <w:r w:rsidR="00DE7359" w:rsidRPr="008040E9">
        <w:rPr>
          <w:rFonts w:ascii="GHEA Grapalat" w:eastAsia="GHEA Grapalat" w:hAnsi="GHEA Grapalat" w:cs="GHEA Grapalat"/>
          <w:bCs/>
          <w:sz w:val="22"/>
          <w:szCs w:val="22"/>
        </w:rPr>
        <w:t>%</w:t>
      </w:r>
      <w:r w:rsidR="00DE7359" w:rsidRPr="008040E9">
        <w:rPr>
          <w:rFonts w:ascii="GHEA Grapalat" w:eastAsia="GHEA Grapalat" w:hAnsi="GHEA Grapalat" w:cs="GHEA Grapalat"/>
          <w:bCs/>
          <w:sz w:val="22"/>
          <w:szCs w:val="22"/>
        </w:rPr>
        <w:noBreakHyphen/>
      </w:r>
      <w:r w:rsidRPr="00345A1C">
        <w:rPr>
          <w:rFonts w:ascii="GHEA Grapalat" w:eastAsia="GHEA Grapalat" w:hAnsi="GHEA Grapalat" w:cs="GHEA Grapalat"/>
          <w:bCs/>
          <w:sz w:val="22"/>
          <w:szCs w:val="22"/>
        </w:rPr>
        <w:t>ով։</w:t>
      </w:r>
    </w:p>
    <w:p w14:paraId="488C2FFB" w14:textId="306AD0E6"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Cs/>
          <w:sz w:val="22"/>
          <w:szCs w:val="22"/>
        </w:rPr>
        <w:t xml:space="preserve">Հաշվետու </w:t>
      </w:r>
      <w:r w:rsidR="00D43E19" w:rsidRPr="008040E9">
        <w:rPr>
          <w:rFonts w:ascii="GHEA Grapalat" w:eastAsia="GHEA Grapalat" w:hAnsi="GHEA Grapalat" w:cs="GHEA Grapalat"/>
          <w:bCs/>
          <w:sz w:val="22"/>
          <w:szCs w:val="22"/>
        </w:rPr>
        <w:t>տար</w:t>
      </w:r>
      <w:r w:rsidRPr="00345A1C">
        <w:rPr>
          <w:rFonts w:ascii="GHEA Grapalat" w:eastAsia="GHEA Grapalat" w:hAnsi="GHEA Grapalat" w:cs="GHEA Grapalat"/>
          <w:bCs/>
          <w:sz w:val="22"/>
          <w:szCs w:val="22"/>
        </w:rPr>
        <w:t xml:space="preserve">ում ԱՄՆ դոլարի նկատմամբ ՀՀ դրամի ձևավորված միջին փոխարժեքը կազմել է 392.7 դրամ մեկ ԱՄՆ դոլարի դիմաց, և </w:t>
      </w:r>
      <w:r w:rsidRPr="00345A1C">
        <w:rPr>
          <w:rFonts w:ascii="GHEA Grapalat" w:hAnsi="GHEA Grapalat"/>
          <w:sz w:val="22"/>
          <w:szCs w:val="22"/>
        </w:rPr>
        <w:t>արժեզրկման առավելագույն արժեքը գրանցվել է 405.6 դրամ 2025թ</w:t>
      </w:r>
      <w:r w:rsidRPr="00575C6C">
        <w:rPr>
          <w:rFonts w:ascii="Cambria Math" w:hAnsi="Cambria Math" w:cs="Cambria Math"/>
          <w:sz w:val="22"/>
          <w:szCs w:val="22"/>
        </w:rPr>
        <w:t>․</w:t>
      </w:r>
      <w:r w:rsidRPr="00BC2C75">
        <w:rPr>
          <w:rFonts w:ascii="GHEA Grapalat" w:hAnsi="GHEA Grapalat"/>
          <w:sz w:val="22"/>
          <w:szCs w:val="22"/>
        </w:rPr>
        <w:t xml:space="preserve"> </w:t>
      </w:r>
      <w:r w:rsidRPr="00345A1C">
        <w:rPr>
          <w:rFonts w:ascii="GHEA Grapalat" w:hAnsi="GHEA Grapalat"/>
          <w:sz w:val="22"/>
          <w:szCs w:val="22"/>
        </w:rPr>
        <w:t>հունվարի 16-ին։ Դեկտեմբեր ամսին նախորդ տարվա դեկտեմբերի համեմատ ՀՀ դրամը ԱՄՆ դոլարի նկատմամբ արժևորվել է 2%-ով:</w:t>
      </w:r>
    </w:p>
    <w:p w14:paraId="451979EA" w14:textId="23AB46A2" w:rsidR="00441A2F" w:rsidRPr="00345A1C" w:rsidRDefault="00441A2F" w:rsidP="00441A2F">
      <w:pPr>
        <w:spacing w:line="276" w:lineRule="auto"/>
        <w:ind w:firstLine="567"/>
        <w:jc w:val="both"/>
        <w:rPr>
          <w:rFonts w:ascii="GHEA Grapalat" w:eastAsia="GHEA Grapalat" w:hAnsi="GHEA Grapalat" w:cs="GHEA Grapalat"/>
          <w:bCs/>
          <w:sz w:val="22"/>
          <w:szCs w:val="22"/>
        </w:rPr>
      </w:pPr>
      <w:r w:rsidRPr="00345A1C">
        <w:rPr>
          <w:rFonts w:ascii="GHEA Grapalat" w:hAnsi="GHEA Grapalat"/>
          <w:sz w:val="22"/>
          <w:szCs w:val="22"/>
        </w:rPr>
        <w:t>Ե</w:t>
      </w:r>
      <w:r w:rsidRPr="00345A1C">
        <w:rPr>
          <w:rFonts w:ascii="GHEA Grapalat" w:eastAsia="GHEA Grapalat" w:hAnsi="GHEA Grapalat" w:cs="GHEA Grapalat"/>
          <w:bCs/>
          <w:sz w:val="22"/>
          <w:szCs w:val="22"/>
        </w:rPr>
        <w:t xml:space="preserve">վրոյի նկատմամբ ձևավորված միջին փոխարժեքը կազմել է 424.9 դրամ մեկ եվրոյի դիմաց, իսկ </w:t>
      </w:r>
      <w:r w:rsidRPr="00345A1C">
        <w:rPr>
          <w:rFonts w:ascii="GHEA Grapalat" w:hAnsi="GHEA Grapalat"/>
          <w:sz w:val="22"/>
          <w:szCs w:val="22"/>
        </w:rPr>
        <w:t>դեկտեմբեր ամսին նախորդ տարվա դեկտեմբերի համեմատ ՀՀ դրամը եվրոյի նկատմամբ արժ</w:t>
      </w:r>
      <w:r w:rsidR="006C7D5A" w:rsidRPr="00345A1C">
        <w:rPr>
          <w:rFonts w:ascii="GHEA Grapalat" w:hAnsi="GHEA Grapalat"/>
          <w:sz w:val="22"/>
          <w:szCs w:val="22"/>
        </w:rPr>
        <w:t>ևոր</w:t>
      </w:r>
      <w:r w:rsidRPr="00345A1C">
        <w:rPr>
          <w:rFonts w:ascii="GHEA Grapalat" w:hAnsi="GHEA Grapalat"/>
          <w:sz w:val="22"/>
          <w:szCs w:val="22"/>
        </w:rPr>
        <w:t>վ</w:t>
      </w:r>
      <w:r w:rsidR="006C7D5A" w:rsidRPr="00345A1C">
        <w:rPr>
          <w:rFonts w:ascii="GHEA Grapalat" w:hAnsi="GHEA Grapalat"/>
          <w:sz w:val="22"/>
          <w:szCs w:val="22"/>
        </w:rPr>
        <w:t>ե</w:t>
      </w:r>
      <w:r w:rsidRPr="00345A1C">
        <w:rPr>
          <w:rFonts w:ascii="GHEA Grapalat" w:hAnsi="GHEA Grapalat"/>
          <w:sz w:val="22"/>
          <w:szCs w:val="22"/>
        </w:rPr>
        <w:t>լ է 6</w:t>
      </w:r>
      <w:r w:rsidRPr="00345A1C">
        <w:rPr>
          <w:rFonts w:ascii="Cambria Math" w:hAnsi="Cambria Math" w:cs="Cambria Math"/>
          <w:sz w:val="22"/>
          <w:szCs w:val="22"/>
        </w:rPr>
        <w:t>․</w:t>
      </w:r>
      <w:r w:rsidRPr="00345A1C">
        <w:rPr>
          <w:rFonts w:ascii="GHEA Grapalat" w:hAnsi="GHEA Grapalat"/>
          <w:sz w:val="22"/>
          <w:szCs w:val="22"/>
        </w:rPr>
        <w:t>3%-ով։</w:t>
      </w:r>
      <w:r w:rsidR="00B85C24">
        <w:rPr>
          <w:rFonts w:ascii="GHEA Grapalat" w:hAnsi="GHEA Grapalat"/>
          <w:sz w:val="22"/>
          <w:szCs w:val="22"/>
        </w:rPr>
        <w:t xml:space="preserve"> </w:t>
      </w:r>
    </w:p>
    <w:p w14:paraId="7D66D5A7" w14:textId="1B1002B8" w:rsidR="00441A2F"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sz w:val="22"/>
          <w:szCs w:val="22"/>
        </w:rPr>
        <w:t xml:space="preserve"> </w:t>
      </w:r>
      <w:r w:rsidRPr="00345A1C">
        <w:rPr>
          <w:rFonts w:ascii="GHEA Grapalat" w:hAnsi="GHEA Grapalat"/>
          <w:sz w:val="22"/>
          <w:szCs w:val="22"/>
        </w:rPr>
        <w:t>ՀՀ դրամի միջին փոխ</w:t>
      </w:r>
      <w:r w:rsidR="0025536A">
        <w:rPr>
          <w:rFonts w:ascii="GHEA Grapalat" w:hAnsi="GHEA Grapalat"/>
          <w:sz w:val="22"/>
          <w:szCs w:val="22"/>
        </w:rPr>
        <w:t>արժեքը ՌԴ ռուբլու նկատմամբ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նախորդ տարվա համեմատությամբ արժևորվել է 9.6%-ով՝ միջազգային շուկայում ռուսական ռուբլու դիրքի թուլացմամբ պայմանավորված, իսկ դեկտեմբեր ամսին նախորդ տարվա դեկտեմբերի համեմատ արժևորվել է 15.3%-ով:</w:t>
      </w:r>
    </w:p>
    <w:p w14:paraId="50450617" w14:textId="77777777" w:rsidR="00731FE8" w:rsidRPr="00345A1C" w:rsidRDefault="00731FE8" w:rsidP="00441A2F">
      <w:pPr>
        <w:spacing w:line="276" w:lineRule="auto"/>
        <w:ind w:firstLine="567"/>
        <w:jc w:val="both"/>
        <w:rPr>
          <w:rFonts w:ascii="GHEA Grapalat" w:hAnsi="GHEA Grapalat"/>
          <w:sz w:val="22"/>
          <w:szCs w:val="22"/>
        </w:rPr>
      </w:pPr>
    </w:p>
    <w:tbl>
      <w:tblPr>
        <w:tblW w:w="5201" w:type="pct"/>
        <w:tblLook w:val="04A0" w:firstRow="1" w:lastRow="0" w:firstColumn="1" w:lastColumn="0" w:noHBand="0" w:noVBand="1"/>
      </w:tblPr>
      <w:tblGrid>
        <w:gridCol w:w="5388"/>
        <w:gridCol w:w="5230"/>
      </w:tblGrid>
      <w:tr w:rsidR="00441A2F" w:rsidRPr="00345A1C" w14:paraId="13674715" w14:textId="77777777" w:rsidTr="004F5B74">
        <w:trPr>
          <w:trHeight w:val="701"/>
        </w:trPr>
        <w:tc>
          <w:tcPr>
            <w:tcW w:w="2537" w:type="pct"/>
            <w:shd w:val="clear" w:color="auto" w:fill="auto"/>
          </w:tcPr>
          <w:p w14:paraId="6D1F6B17" w14:textId="2DB5FDBA" w:rsidR="00441A2F" w:rsidRPr="00345A1C" w:rsidRDefault="004F5B74" w:rsidP="00E61851">
            <w:pPr>
              <w:pStyle w:val="ab"/>
            </w:pPr>
            <w:r w:rsidRPr="00345A1C">
              <w:lastRenderedPageBreak/>
              <w:t xml:space="preserve">Գծապատկեր 29. </w:t>
            </w:r>
            <w:r w:rsidR="00441A2F" w:rsidRPr="00345A1C">
              <w:t>ՀՀ դրամի անվանական փոխարժեքի ամսական դինամիկան հիմնական արժույթների նկատմամբ (բարձրացումը՝ դրամի արժեզրկում)</w:t>
            </w:r>
            <w:r w:rsidR="00386099" w:rsidRPr="00345A1C">
              <w:t>, ՀՀ դրամ</w:t>
            </w:r>
          </w:p>
        </w:tc>
        <w:tc>
          <w:tcPr>
            <w:tcW w:w="2463" w:type="pct"/>
            <w:shd w:val="clear" w:color="auto" w:fill="auto"/>
          </w:tcPr>
          <w:p w14:paraId="695C4245" w14:textId="53DC6FCE" w:rsidR="00441A2F" w:rsidRPr="00345A1C" w:rsidRDefault="004F5B74" w:rsidP="00E61851">
            <w:pPr>
              <w:pStyle w:val="ab"/>
            </w:pPr>
            <w:r w:rsidRPr="00345A1C">
              <w:t xml:space="preserve">Գծապատկեր 30. </w:t>
            </w:r>
            <w:r w:rsidR="00441A2F" w:rsidRPr="00345A1C">
              <w:t>ՀՀ իրական և անվանական արդյունավետ փոխարժեքների դինամիկան, 2020=100 (աճ՝ արժևորում)</w:t>
            </w:r>
            <w:r w:rsidR="00386099" w:rsidRPr="00345A1C">
              <w:t>,%</w:t>
            </w:r>
          </w:p>
        </w:tc>
      </w:tr>
      <w:tr w:rsidR="00441A2F" w:rsidRPr="00345A1C" w14:paraId="66041E72" w14:textId="77777777" w:rsidTr="004F5B74">
        <w:trPr>
          <w:trHeight w:val="3860"/>
        </w:trPr>
        <w:tc>
          <w:tcPr>
            <w:tcW w:w="2537" w:type="pct"/>
            <w:shd w:val="clear" w:color="auto" w:fill="auto"/>
          </w:tcPr>
          <w:p w14:paraId="7C1EA753" w14:textId="77777777" w:rsidR="00441A2F" w:rsidRPr="00BC2C75" w:rsidRDefault="00441A2F" w:rsidP="00ED3B59">
            <w:pPr>
              <w:spacing w:line="276" w:lineRule="auto"/>
              <w:jc w:val="both"/>
              <w:rPr>
                <w:rFonts w:ascii="GHEA Grapalat" w:eastAsia="GHEA Grapalat" w:hAnsi="GHEA Grapalat" w:cs="GHEA Grapalat"/>
                <w:szCs w:val="22"/>
              </w:rPr>
            </w:pPr>
            <w:r w:rsidRPr="00BC2C75">
              <w:rPr>
                <w:rFonts w:ascii="GHEA Grapalat" w:eastAsia="GHEA Grapalat" w:hAnsi="GHEA Grapalat"/>
                <w:b/>
                <w:szCs w:val="22"/>
                <w:lang w:val="en-US"/>
              </w:rPr>
              <w:drawing>
                <wp:anchor distT="0" distB="0" distL="114300" distR="114300" simplePos="0" relativeHeight="251672064" behindDoc="0" locked="0" layoutInCell="1" allowOverlap="1" wp14:anchorId="59131DD3" wp14:editId="5FB35363">
                  <wp:simplePos x="0" y="0"/>
                  <wp:positionH relativeFrom="column">
                    <wp:posOffset>-20320</wp:posOffset>
                  </wp:positionH>
                  <wp:positionV relativeFrom="paragraph">
                    <wp:posOffset>165100</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tc>
        <w:tc>
          <w:tcPr>
            <w:tcW w:w="2463" w:type="pct"/>
            <w:shd w:val="clear" w:color="auto" w:fill="auto"/>
          </w:tcPr>
          <w:p w14:paraId="3F060BEB" w14:textId="77777777" w:rsidR="00441A2F" w:rsidRPr="00345A1C" w:rsidRDefault="00441A2F" w:rsidP="00ED3B59">
            <w:pPr>
              <w:spacing w:line="276" w:lineRule="auto"/>
              <w:jc w:val="both"/>
              <w:rPr>
                <w:rFonts w:ascii="GHEA Grapalat" w:eastAsia="GHEA Grapalat" w:hAnsi="GHEA Grapalat" w:cs="GHEA Grapalat"/>
                <w:sz w:val="22"/>
                <w:szCs w:val="22"/>
              </w:rPr>
            </w:pPr>
            <w:r w:rsidRPr="00BC2C75">
              <w:rPr>
                <w:rFonts w:ascii="GHEA Grapalat" w:eastAsia="GHEA Grapalat" w:hAnsi="GHEA Grapalat"/>
                <w:b/>
                <w:lang w:val="en-US"/>
              </w:rPr>
              <w:drawing>
                <wp:anchor distT="0" distB="0" distL="114300" distR="114300" simplePos="0" relativeHeight="251671040" behindDoc="0" locked="0" layoutInCell="1" allowOverlap="1" wp14:anchorId="47A9A098" wp14:editId="025CF012">
                  <wp:simplePos x="0" y="0"/>
                  <wp:positionH relativeFrom="column">
                    <wp:posOffset>-66675</wp:posOffset>
                  </wp:positionH>
                  <wp:positionV relativeFrom="paragraph">
                    <wp:posOffset>152400</wp:posOffset>
                  </wp:positionV>
                  <wp:extent cx="3038475" cy="2200275"/>
                  <wp:effectExtent l="0" t="0" r="9525" b="952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tc>
      </w:tr>
      <w:tr w:rsidR="00441A2F" w:rsidRPr="00345A1C" w14:paraId="5811432E" w14:textId="77777777" w:rsidTr="004F5B74">
        <w:trPr>
          <w:trHeight w:val="80"/>
        </w:trPr>
        <w:tc>
          <w:tcPr>
            <w:tcW w:w="2537" w:type="pct"/>
            <w:shd w:val="clear" w:color="auto" w:fill="auto"/>
          </w:tcPr>
          <w:p w14:paraId="4710E0B8" w14:textId="77777777" w:rsidR="00441A2F" w:rsidRPr="00345A1C" w:rsidRDefault="00441A2F" w:rsidP="00A84B7B">
            <w:pPr>
              <w:spacing w:line="276" w:lineRule="auto"/>
              <w:jc w:val="both"/>
              <w:rPr>
                <w:rFonts w:ascii="GHEA Grapalat" w:hAnsi="GHEA Grapalat" w:cs="Sylfaen"/>
                <w:i/>
                <w:sz w:val="16"/>
                <w:szCs w:val="16"/>
              </w:rPr>
            </w:pPr>
            <w:r w:rsidRPr="00345A1C">
              <w:rPr>
                <w:rFonts w:ascii="GHEA Grapalat" w:hAnsi="GHEA Grapalat" w:cs="Sylfaen"/>
                <w:i/>
                <w:sz w:val="16"/>
                <w:szCs w:val="16"/>
              </w:rPr>
              <w:t>Աղբյուրը՝ ՀՀ ԿԲ</w:t>
            </w:r>
          </w:p>
        </w:tc>
        <w:tc>
          <w:tcPr>
            <w:tcW w:w="2463" w:type="pct"/>
            <w:shd w:val="clear" w:color="auto" w:fill="auto"/>
          </w:tcPr>
          <w:p w14:paraId="6D89BC7F" w14:textId="77777777" w:rsidR="00441A2F" w:rsidRPr="00345A1C" w:rsidRDefault="00441A2F" w:rsidP="00A84B7B">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r w:rsidRPr="00345A1C" w:rsidDel="00B027E9">
              <w:rPr>
                <w:rFonts w:ascii="GHEA Grapalat" w:eastAsia="GHEA Grapalat" w:hAnsi="GHEA Grapalat" w:cs="GHEA Grapalat"/>
                <w:b/>
                <w:i/>
                <w:sz w:val="16"/>
                <w:szCs w:val="16"/>
              </w:rPr>
              <w:t xml:space="preserve"> </w:t>
            </w:r>
          </w:p>
        </w:tc>
      </w:tr>
    </w:tbl>
    <w:p w14:paraId="294B1D0B" w14:textId="77777777" w:rsidR="00441A2F" w:rsidRPr="00345A1C" w:rsidRDefault="00441A2F" w:rsidP="00441A2F">
      <w:pPr>
        <w:spacing w:line="276" w:lineRule="auto"/>
        <w:ind w:firstLine="567"/>
        <w:jc w:val="both"/>
        <w:rPr>
          <w:rFonts w:ascii="GHEA Grapalat" w:hAnsi="GHEA Grapalat"/>
          <w:sz w:val="22"/>
          <w:szCs w:val="22"/>
        </w:rPr>
      </w:pPr>
    </w:p>
    <w:p w14:paraId="41A606F6" w14:textId="7678B157"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Արդյունավետ փոխարժեքներ:</w:t>
      </w:r>
      <w:r w:rsidRPr="00345A1C">
        <w:rPr>
          <w:rFonts w:ascii="GHEA Grapalat" w:eastAsia="GHEA Grapalat" w:hAnsi="GHEA Grapalat" w:cs="GHEA Grapalat"/>
          <w:sz w:val="22"/>
          <w:szCs w:val="22"/>
        </w:rPr>
        <w:t xml:space="preserve"> </w:t>
      </w:r>
      <w:r w:rsidRPr="00345A1C">
        <w:rPr>
          <w:rFonts w:ascii="GHEA Grapalat" w:hAnsi="GHEA Grapalat"/>
          <w:sz w:val="22"/>
          <w:szCs w:val="22"/>
        </w:rPr>
        <w:t>ՀՀ արտաքին առևտրի տեսանկյունից առավել կարևոր արժույթներից բաղկացած զամբյուղի նկատմամբ ՀՀ ազգային արժույթն</w:t>
      </w:r>
      <w:r w:rsidR="0025536A">
        <w:rPr>
          <w:rFonts w:ascii="GHEA Grapalat" w:hAnsi="GHEA Grapalat"/>
          <w:sz w:val="22"/>
          <w:szCs w:val="22"/>
        </w:rPr>
        <w:t xml:space="preserve"> անվանական արտահայտությամբ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արժևորվել է 10</w:t>
      </w:r>
      <w:r w:rsidRPr="00345A1C">
        <w:rPr>
          <w:rFonts w:ascii="Cambria Math" w:hAnsi="Cambria Math" w:cs="Cambria Math"/>
          <w:sz w:val="22"/>
          <w:szCs w:val="22"/>
        </w:rPr>
        <w:t>․</w:t>
      </w:r>
      <w:r w:rsidRPr="00345A1C">
        <w:rPr>
          <w:rFonts w:ascii="GHEA Grapalat" w:hAnsi="GHEA Grapalat"/>
          <w:sz w:val="22"/>
          <w:szCs w:val="22"/>
        </w:rPr>
        <w:t>2%-ով, իսկ իրական արտահայտությամբ՝ 5</w:t>
      </w:r>
      <w:r w:rsidRPr="00345A1C">
        <w:rPr>
          <w:rFonts w:ascii="Cambria Math" w:hAnsi="Cambria Math" w:cs="Cambria Math"/>
          <w:sz w:val="22"/>
          <w:szCs w:val="22"/>
        </w:rPr>
        <w:t>․</w:t>
      </w:r>
      <w:r w:rsidRPr="00345A1C">
        <w:rPr>
          <w:rFonts w:ascii="GHEA Grapalat" w:hAnsi="GHEA Grapalat"/>
          <w:sz w:val="22"/>
          <w:szCs w:val="22"/>
        </w:rPr>
        <w:t>4%</w:t>
      </w:r>
      <w:r w:rsidRPr="00345A1C">
        <w:rPr>
          <w:rFonts w:ascii="GHEA Grapalat" w:hAnsi="GHEA Grapalat"/>
          <w:sz w:val="22"/>
          <w:szCs w:val="22"/>
        </w:rPr>
        <w:noBreakHyphen/>
        <w:t>ով։</w:t>
      </w:r>
      <w:bookmarkEnd w:id="9"/>
      <w:bookmarkEnd w:id="10"/>
    </w:p>
    <w:p w14:paraId="7DB06F31" w14:textId="77777777" w:rsidR="00441A2F" w:rsidRPr="00345A1C" w:rsidRDefault="00441A2F" w:rsidP="00DE7359">
      <w:pPr>
        <w:pStyle w:val="Heading6"/>
        <w:numPr>
          <w:ilvl w:val="0"/>
          <w:numId w:val="0"/>
        </w:numPr>
        <w:ind w:left="567"/>
        <w:rPr>
          <w:rFonts w:ascii="GHEA Grapalat" w:hAnsi="GHEA Grapalat"/>
          <w:b/>
          <w:sz w:val="22"/>
          <w:szCs w:val="22"/>
          <w:u w:val="none"/>
        </w:rPr>
      </w:pPr>
    </w:p>
    <w:p w14:paraId="0B60F1B9" w14:textId="499F41E9" w:rsidR="00F86947" w:rsidRPr="00220D60" w:rsidRDefault="00F86947" w:rsidP="00220D60">
      <w:pPr>
        <w:pStyle w:val="Heading4"/>
        <w:numPr>
          <w:ilvl w:val="3"/>
          <w:numId w:val="10"/>
        </w:numPr>
        <w:tabs>
          <w:tab w:val="left" w:pos="709"/>
        </w:tabs>
        <w:spacing w:after="240"/>
        <w:ind w:left="993" w:hanging="993"/>
        <w:rPr>
          <w:i w:val="0"/>
          <w:sz w:val="24"/>
          <w:szCs w:val="24"/>
        </w:rPr>
      </w:pPr>
      <w:r w:rsidRPr="00220D60">
        <w:rPr>
          <w:i w:val="0"/>
          <w:sz w:val="24"/>
          <w:szCs w:val="24"/>
        </w:rPr>
        <w:t>Ֆինանսական շուկաներ</w:t>
      </w:r>
      <w:r w:rsidRPr="00220D60">
        <w:rPr>
          <w:i w:val="0"/>
          <w:sz w:val="24"/>
          <w:szCs w:val="24"/>
          <w:vertAlign w:val="superscript"/>
        </w:rPr>
        <w:footnoteReference w:id="14"/>
      </w:r>
    </w:p>
    <w:p w14:paraId="3354CA5C" w14:textId="1E9F3CA5" w:rsidR="00871455" w:rsidRPr="00540C2B" w:rsidRDefault="00871455" w:rsidP="00540C2B">
      <w:pPr>
        <w:spacing w:line="276" w:lineRule="auto"/>
        <w:ind w:firstLine="567"/>
        <w:jc w:val="both"/>
        <w:rPr>
          <w:rFonts w:ascii="GHEA Grapalat" w:hAnsi="GHEA Grapalat"/>
          <w:sz w:val="22"/>
          <w:szCs w:val="22"/>
        </w:rPr>
      </w:pPr>
      <w:r w:rsidRPr="00345A1C">
        <w:rPr>
          <w:rFonts w:ascii="GHEA Grapalat" w:hAnsi="GHEA Grapalat" w:cs="GHEA Grapalat"/>
          <w:b/>
          <w:i/>
          <w:sz w:val="22"/>
          <w:szCs w:val="22"/>
        </w:rPr>
        <w:t>Վարկեր և ավանդներ:</w:t>
      </w:r>
      <w:r w:rsidRPr="00345A1C">
        <w:rPr>
          <w:rFonts w:ascii="GHEA Grapalat" w:hAnsi="GHEA Grapalat" w:cs="GHEA Grapalat"/>
          <w:sz w:val="22"/>
          <w:szCs w:val="22"/>
        </w:rPr>
        <w:t xml:space="preserve"> </w:t>
      </w:r>
      <w:r w:rsidRPr="00540C2B">
        <w:rPr>
          <w:rFonts w:ascii="GHEA Grapalat" w:hAnsi="GHEA Grapalat"/>
          <w:sz w:val="22"/>
          <w:szCs w:val="22"/>
        </w:rPr>
        <w:t xml:space="preserve">Բանկային համակարգի </w:t>
      </w:r>
      <w:r w:rsidR="0025536A" w:rsidRPr="00540C2B">
        <w:rPr>
          <w:rFonts w:ascii="GHEA Grapalat" w:hAnsi="GHEA Grapalat"/>
          <w:sz w:val="22"/>
          <w:szCs w:val="22"/>
        </w:rPr>
        <w:t>ֆինանսական միջնորդությունը 2024</w:t>
      </w:r>
      <w:r w:rsidRPr="00540C2B">
        <w:rPr>
          <w:rFonts w:ascii="GHEA Grapalat" w:hAnsi="GHEA Grapalat"/>
          <w:sz w:val="22"/>
          <w:szCs w:val="22"/>
        </w:rPr>
        <w:t>թ</w:t>
      </w:r>
      <w:r w:rsidR="0025536A" w:rsidRPr="00540C2B">
        <w:rPr>
          <w:rFonts w:ascii="GHEA Grapalat" w:hAnsi="GHEA Grapalat"/>
          <w:sz w:val="22"/>
          <w:szCs w:val="22"/>
        </w:rPr>
        <w:t>.</w:t>
      </w:r>
      <w:r w:rsidRPr="00540C2B">
        <w:rPr>
          <w:rFonts w:ascii="GHEA Grapalat" w:hAnsi="GHEA Grapalat"/>
          <w:sz w:val="22"/>
          <w:szCs w:val="22"/>
        </w:rPr>
        <w:t xml:space="preserve"> բնութագրվում է նախորդ տարվա համեմատությամբ վարկավորման՝ ավանդների նկատմամբ առաջանցիկ աճի միտումներով։ Արդյունքում բանկային համակարգի իրացվելիության դիրքը որոշակիորեն ճշգրտվել է։ Ավանդների և վարկերի ծավալների դրական տարբերությունը շարունակում է նվազել՝ դեկտեմբերին հասնելով 67.6 մլրդ դրամի (2023թ</w:t>
      </w:r>
      <w:r w:rsidRPr="00540C2B">
        <w:rPr>
          <w:rFonts w:ascii="Cambria Math" w:hAnsi="Cambria Math" w:cs="Cambria Math"/>
          <w:sz w:val="22"/>
          <w:szCs w:val="22"/>
        </w:rPr>
        <w:t>․</w:t>
      </w:r>
      <w:r w:rsidRPr="00540C2B">
        <w:rPr>
          <w:rFonts w:ascii="GHEA Grapalat" w:hAnsi="GHEA Grapalat"/>
          <w:sz w:val="22"/>
          <w:szCs w:val="22"/>
        </w:rPr>
        <w:t xml:space="preserve"> դեկտեմբերին կազմել էր 527 մլրդ դրամ, 2022թ. վերջին՝</w:t>
      </w:r>
      <w:r w:rsidR="00B85C24" w:rsidRPr="00540C2B">
        <w:rPr>
          <w:rFonts w:ascii="GHEA Grapalat" w:hAnsi="GHEA Grapalat"/>
          <w:sz w:val="22"/>
          <w:szCs w:val="22"/>
        </w:rPr>
        <w:t xml:space="preserve"> </w:t>
      </w:r>
      <w:r w:rsidRPr="00540C2B">
        <w:rPr>
          <w:rFonts w:ascii="GHEA Grapalat" w:hAnsi="GHEA Grapalat"/>
          <w:sz w:val="22"/>
          <w:szCs w:val="22"/>
        </w:rPr>
        <w:t>913 մլրդ դրամ): Վարկերի աճի արագացմանը զուգահեռ</w:t>
      </w:r>
      <w:r w:rsidR="00ED5A3C" w:rsidRPr="008040E9">
        <w:rPr>
          <w:rFonts w:ascii="GHEA Grapalat" w:hAnsi="GHEA Grapalat"/>
          <w:sz w:val="22"/>
          <w:szCs w:val="22"/>
        </w:rPr>
        <w:t>՝</w:t>
      </w:r>
      <w:r w:rsidRPr="00540C2B">
        <w:rPr>
          <w:rFonts w:ascii="GHEA Grapalat" w:hAnsi="GHEA Grapalat"/>
          <w:sz w:val="22"/>
          <w:szCs w:val="22"/>
        </w:rPr>
        <w:t xml:space="preserve"> աճը դարձել է առավել ընդգրկուն՝ ընդգրկելով տնտեսության գրեթե բոլոր ոլորտները։</w:t>
      </w:r>
    </w:p>
    <w:p w14:paraId="56E3F85F" w14:textId="18531B22" w:rsidR="00871455" w:rsidRPr="00345A1C" w:rsidRDefault="0025536A" w:rsidP="00540C2B">
      <w:pPr>
        <w:spacing w:line="276" w:lineRule="auto"/>
        <w:ind w:firstLine="567"/>
        <w:jc w:val="both"/>
        <w:rPr>
          <w:rFonts w:ascii="GHEA Grapalat" w:eastAsia="GHEA Grapalat" w:hAnsi="GHEA Grapalat" w:cs="GHEA Grapalat"/>
          <w:sz w:val="22"/>
          <w:szCs w:val="22"/>
        </w:rPr>
      </w:pPr>
      <w:r w:rsidRPr="00540C2B">
        <w:rPr>
          <w:rFonts w:ascii="GHEA Grapalat" w:hAnsi="GHEA Grapalat"/>
          <w:sz w:val="22"/>
          <w:szCs w:val="22"/>
        </w:rPr>
        <w:t>2024</w:t>
      </w:r>
      <w:r w:rsidR="00871455" w:rsidRPr="00540C2B">
        <w:rPr>
          <w:rFonts w:ascii="GHEA Grapalat" w:hAnsi="GHEA Grapalat"/>
          <w:sz w:val="22"/>
          <w:szCs w:val="22"/>
        </w:rPr>
        <w:t>թ</w:t>
      </w:r>
      <w:r w:rsidRPr="00540C2B">
        <w:rPr>
          <w:rFonts w:ascii="GHEA Grapalat" w:hAnsi="GHEA Grapalat"/>
          <w:sz w:val="22"/>
          <w:szCs w:val="22"/>
        </w:rPr>
        <w:t>.</w:t>
      </w:r>
      <w:r w:rsidR="00871455" w:rsidRPr="00540C2B">
        <w:rPr>
          <w:rFonts w:ascii="GHEA Grapalat" w:hAnsi="GHEA Grapalat"/>
          <w:sz w:val="22"/>
          <w:szCs w:val="22"/>
        </w:rPr>
        <w:t xml:space="preserve"> վարկերի ծավալների աճի տեմպը զգալիորեն արագացել է՝ պայմանավորված բանկային համակարգում առկա բարձր իրացվելիությամբ և վարկերի նկատմամբ պահանջարկով։</w:t>
      </w:r>
      <w:r w:rsidRPr="00540C2B">
        <w:rPr>
          <w:rFonts w:ascii="GHEA Grapalat" w:hAnsi="GHEA Grapalat"/>
          <w:sz w:val="22"/>
          <w:szCs w:val="22"/>
        </w:rPr>
        <w:t xml:space="preserve"> 2024</w:t>
      </w:r>
      <w:r w:rsidR="00871455" w:rsidRPr="00540C2B">
        <w:rPr>
          <w:rFonts w:ascii="GHEA Grapalat" w:hAnsi="GHEA Grapalat"/>
          <w:sz w:val="22"/>
          <w:szCs w:val="22"/>
        </w:rPr>
        <w:t>թ</w:t>
      </w:r>
      <w:r w:rsidRPr="00540C2B">
        <w:rPr>
          <w:rFonts w:ascii="GHEA Grapalat" w:hAnsi="GHEA Grapalat"/>
          <w:sz w:val="22"/>
          <w:szCs w:val="22"/>
        </w:rPr>
        <w:t>.</w:t>
      </w:r>
      <w:r w:rsidR="00871455" w:rsidRPr="00345A1C">
        <w:rPr>
          <w:rFonts w:ascii="GHEA Grapalat" w:eastAsia="Calibri" w:hAnsi="GHEA Grapalat" w:cs="Sylfaen"/>
          <w:sz w:val="22"/>
          <w:szCs w:val="22"/>
        </w:rPr>
        <w:t xml:space="preserve"> դեկտեմբերին առևտրային բանկերի կողմից ռեզիդենտներին տրամադրված վարկերի ծավալների աճը նախորդ տարվա նույն ամսվա նկատմամբ կազմել է 27.1%</w:t>
      </w:r>
      <w:r w:rsidR="00871455" w:rsidRPr="00345A1C">
        <w:rPr>
          <w:rFonts w:ascii="GHEA Grapalat" w:eastAsia="Calibri" w:hAnsi="GHEA Grapalat" w:cs="Sylfaen"/>
          <w:sz w:val="22"/>
          <w:szCs w:val="22"/>
          <w:vertAlign w:val="superscript"/>
        </w:rPr>
        <w:footnoteReference w:id="15"/>
      </w:r>
      <w:r w:rsidR="00871455" w:rsidRPr="00345A1C">
        <w:rPr>
          <w:rFonts w:ascii="GHEA Grapalat" w:eastAsia="Calibri" w:hAnsi="GHEA Grapalat" w:cs="Sylfaen"/>
          <w:sz w:val="22"/>
          <w:szCs w:val="22"/>
        </w:rPr>
        <w:t>՝</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դեկտեմբերին արձանագրված 21.9%-ի համեմատ: Նշված ցուցանիշին 21.2 տոկոսային կետով նպաստել է դրամային վարկերի աճը, իսկ արտարժութային վարկերը նպաստել են 5.9 տոկոսային կետով:</w:t>
      </w:r>
    </w:p>
    <w:p w14:paraId="02BC4343" w14:textId="2A1B2CD7" w:rsidR="00871455" w:rsidRPr="0025536A" w:rsidRDefault="00871455" w:rsidP="0025536A">
      <w:pPr>
        <w:keepNext/>
        <w:keepLines/>
        <w:tabs>
          <w:tab w:val="left" w:pos="0"/>
          <w:tab w:val="left" w:pos="284"/>
          <w:tab w:val="left" w:pos="1276"/>
          <w:tab w:val="left" w:pos="1888"/>
        </w:tabs>
        <w:autoSpaceDE w:val="0"/>
        <w:autoSpaceDN w:val="0"/>
        <w:adjustRightInd w:val="0"/>
        <w:spacing w:before="240" w:line="276" w:lineRule="auto"/>
        <w:rPr>
          <w:rFonts w:ascii="GHEA Grapalat" w:eastAsia="Calibri" w:hAnsi="GHEA Grapalat" w:cs="Sylfaen"/>
          <w:b/>
          <w:noProof w:val="0"/>
          <w:sz w:val="18"/>
          <w:szCs w:val="18"/>
        </w:rPr>
      </w:pPr>
      <w:r w:rsidRPr="0025536A">
        <w:rPr>
          <w:rFonts w:ascii="GHEA Grapalat" w:eastAsia="GHEA Grapalat" w:hAnsi="GHEA Grapalat" w:cs="GHEA Grapalat"/>
          <w:b/>
          <w:noProof w:val="0"/>
          <w:sz w:val="18"/>
          <w:szCs w:val="18"/>
        </w:rPr>
        <w:lastRenderedPageBreak/>
        <w:t xml:space="preserve">Գծապատկեր 31. </w:t>
      </w:r>
      <w:r w:rsidRPr="0025536A">
        <w:rPr>
          <w:rFonts w:ascii="GHEA Grapalat" w:eastAsia="Calibri" w:hAnsi="GHEA Grapalat" w:cs="Sylfaen"/>
          <w:b/>
          <w:noProof w:val="0"/>
          <w:sz w:val="18"/>
          <w:szCs w:val="18"/>
        </w:rPr>
        <w:t>Ռեզիդենտների վարկերի և ավանդների ծավալների աճը (նախորդ տարվա նկատմամբ, %)</w:t>
      </w:r>
    </w:p>
    <w:p w14:paraId="0B6D004A"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5FD8861B" wp14:editId="109D990C">
            <wp:extent cx="3168000" cy="2879725"/>
            <wp:effectExtent l="0" t="0" r="13970" b="1587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09050FAB" wp14:editId="2236D057">
            <wp:extent cx="3168000" cy="2880000"/>
            <wp:effectExtent l="0" t="0" r="13970" b="15875"/>
            <wp:docPr id="40"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FB0CB08" w14:textId="50990A87" w:rsidR="00871455" w:rsidRPr="008040E9" w:rsidRDefault="00871455" w:rsidP="00ED5A3C">
      <w:pPr>
        <w:spacing w:line="276" w:lineRule="auto"/>
        <w:jc w:val="both"/>
        <w:rPr>
          <w:rFonts w:ascii="GHEA Grapalat" w:hAnsi="GHEA Grapalat" w:cs="GHEA Grapalat"/>
          <w:i/>
          <w:sz w:val="16"/>
          <w:szCs w:val="16"/>
        </w:rPr>
      </w:pPr>
      <w:r w:rsidRPr="00BC2C75">
        <w:rPr>
          <w:rFonts w:ascii="GHEA Grapalat" w:hAnsi="GHEA Grapalat" w:cs="Sylfaen"/>
          <w:i/>
          <w:sz w:val="16"/>
          <w:szCs w:val="16"/>
        </w:rPr>
        <w:t>Աղբյուրը՝</w:t>
      </w:r>
      <w:r w:rsidR="0025536A">
        <w:rPr>
          <w:rFonts w:ascii="GHEA Grapalat" w:hAnsi="GHEA Grapalat" w:cs="Sylfaen"/>
          <w:i/>
          <w:sz w:val="16"/>
          <w:szCs w:val="16"/>
        </w:rPr>
        <w:t xml:space="preserve"> ՀՀ ԿԲ և ՀՀ ՖՆ հաշվարկներ: 2022</w:t>
      </w:r>
      <w:r w:rsidRPr="00BC2C75">
        <w:rPr>
          <w:rFonts w:ascii="GHEA Grapalat" w:hAnsi="GHEA Grapalat" w:cs="Sylfaen"/>
          <w:i/>
          <w:sz w:val="16"/>
          <w:szCs w:val="16"/>
        </w:rPr>
        <w:t>թ</w:t>
      </w:r>
      <w:r w:rsidR="0025536A">
        <w:rPr>
          <w:rFonts w:ascii="GHEA Grapalat" w:hAnsi="GHEA Grapalat" w:cs="Sylfaen"/>
          <w:i/>
          <w:sz w:val="16"/>
          <w:szCs w:val="16"/>
        </w:rPr>
        <w:t>.</w:t>
      </w:r>
      <w:r w:rsidRPr="00BC2C75">
        <w:rPr>
          <w:rFonts w:ascii="GHEA Grapalat" w:hAnsi="GHEA Grapalat" w:cs="Sylfaen"/>
          <w:i/>
          <w:sz w:val="16"/>
          <w:szCs w:val="16"/>
        </w:rPr>
        <w:t xml:space="preserve"> </w:t>
      </w:r>
      <w:r w:rsidRPr="00BC2C75">
        <w:rPr>
          <w:rFonts w:ascii="GHEA Grapalat" w:hAnsi="GHEA Grapalat" w:cs="GHEA Grapalat"/>
          <w:i/>
          <w:sz w:val="16"/>
          <w:szCs w:val="16"/>
        </w:rPr>
        <w:t>համար</w:t>
      </w:r>
      <w:r w:rsidR="006D5D46" w:rsidRPr="008040E9">
        <w:rPr>
          <w:rFonts w:ascii="GHEA Grapalat" w:hAnsi="GHEA Grapalat" w:cs="GHEA Grapalat"/>
          <w:i/>
          <w:sz w:val="16"/>
          <w:szCs w:val="16"/>
        </w:rPr>
        <w:t>՝</w:t>
      </w:r>
      <w:r w:rsidRPr="00BC2C75">
        <w:rPr>
          <w:rFonts w:ascii="GHEA Grapalat" w:hAnsi="GHEA Grapalat" w:cs="Sylfaen"/>
          <w:i/>
          <w:sz w:val="16"/>
          <w:szCs w:val="16"/>
        </w:rPr>
        <w:t xml:space="preserve"> </w:t>
      </w:r>
      <w:r w:rsidRPr="00BC2C75">
        <w:rPr>
          <w:rFonts w:ascii="GHEA Grapalat" w:hAnsi="GHEA Grapalat" w:cs="GHEA Grapalat"/>
          <w:i/>
          <w:sz w:val="16"/>
          <w:szCs w:val="16"/>
        </w:rPr>
        <w:t>առանց</w:t>
      </w:r>
      <w:r w:rsidRPr="00BC2C75">
        <w:rPr>
          <w:rFonts w:ascii="GHEA Grapalat" w:hAnsi="GHEA Grapalat" w:cs="Sylfaen"/>
          <w:i/>
          <w:sz w:val="16"/>
          <w:szCs w:val="16"/>
        </w:rPr>
        <w:t xml:space="preserve"> </w:t>
      </w:r>
      <w:r w:rsidRPr="00BC2C75">
        <w:rPr>
          <w:rFonts w:ascii="GHEA Grapalat" w:hAnsi="GHEA Grapalat" w:cs="GHEA Grapalat"/>
          <w:i/>
          <w:sz w:val="16"/>
          <w:szCs w:val="16"/>
        </w:rPr>
        <w:t>դրամի</w:t>
      </w:r>
      <w:r w:rsidRPr="00BC2C75">
        <w:rPr>
          <w:rFonts w:ascii="GHEA Grapalat" w:hAnsi="GHEA Grapalat" w:cs="Sylfaen"/>
          <w:i/>
          <w:sz w:val="16"/>
          <w:szCs w:val="16"/>
        </w:rPr>
        <w:t xml:space="preserve"> </w:t>
      </w:r>
      <w:r w:rsidRPr="00BC2C75">
        <w:rPr>
          <w:rFonts w:ascii="GHEA Grapalat" w:hAnsi="GHEA Grapalat" w:cs="GHEA Grapalat"/>
          <w:i/>
          <w:sz w:val="16"/>
          <w:szCs w:val="16"/>
        </w:rPr>
        <w:t>արժևորման</w:t>
      </w:r>
      <w:r w:rsidRPr="00BC2C75">
        <w:rPr>
          <w:rFonts w:ascii="GHEA Grapalat" w:hAnsi="GHEA Grapalat" w:cs="Sylfaen"/>
          <w:i/>
          <w:sz w:val="16"/>
          <w:szCs w:val="16"/>
        </w:rPr>
        <w:t xml:space="preserve"> </w:t>
      </w:r>
      <w:r w:rsidRPr="00BC2C75">
        <w:rPr>
          <w:rFonts w:ascii="GHEA Grapalat" w:hAnsi="GHEA Grapalat" w:cs="GHEA Grapalat"/>
          <w:i/>
          <w:sz w:val="16"/>
          <w:szCs w:val="16"/>
        </w:rPr>
        <w:t>վարկերի</w:t>
      </w:r>
      <w:r w:rsidRPr="00BC2C75">
        <w:rPr>
          <w:rFonts w:ascii="GHEA Grapalat" w:hAnsi="GHEA Grapalat" w:cs="Sylfaen"/>
          <w:i/>
          <w:sz w:val="16"/>
          <w:szCs w:val="16"/>
        </w:rPr>
        <w:t xml:space="preserve"> </w:t>
      </w:r>
      <w:r w:rsidRPr="00BC2C75">
        <w:rPr>
          <w:rFonts w:ascii="GHEA Grapalat" w:hAnsi="GHEA Grapalat" w:cs="GHEA Grapalat"/>
          <w:i/>
          <w:sz w:val="16"/>
          <w:szCs w:val="16"/>
        </w:rPr>
        <w:t>և</w:t>
      </w:r>
      <w:r w:rsidRPr="00BC2C75">
        <w:rPr>
          <w:rFonts w:ascii="GHEA Grapalat" w:hAnsi="GHEA Grapalat" w:cs="Sylfaen"/>
          <w:i/>
          <w:sz w:val="16"/>
          <w:szCs w:val="16"/>
        </w:rPr>
        <w:t xml:space="preserve"> </w:t>
      </w:r>
      <w:r w:rsidRPr="00BC2C75">
        <w:rPr>
          <w:rFonts w:ascii="GHEA Grapalat" w:hAnsi="GHEA Grapalat" w:cs="GHEA Grapalat"/>
          <w:i/>
          <w:sz w:val="16"/>
          <w:szCs w:val="16"/>
        </w:rPr>
        <w:t>ավանդների</w:t>
      </w:r>
      <w:r w:rsidRPr="00BC2C75">
        <w:rPr>
          <w:rFonts w:ascii="GHEA Grapalat" w:hAnsi="GHEA Grapalat" w:cs="Sylfaen"/>
          <w:i/>
          <w:sz w:val="16"/>
          <w:szCs w:val="16"/>
        </w:rPr>
        <w:t xml:space="preserve"> </w:t>
      </w:r>
      <w:r w:rsidRPr="00BC2C75">
        <w:rPr>
          <w:rFonts w:ascii="GHEA Grapalat" w:hAnsi="GHEA Grapalat" w:cs="GHEA Grapalat"/>
          <w:i/>
          <w:sz w:val="16"/>
          <w:szCs w:val="16"/>
        </w:rPr>
        <w:t>աճի</w:t>
      </w:r>
      <w:r w:rsidRPr="00BC2C75">
        <w:rPr>
          <w:rFonts w:ascii="GHEA Grapalat" w:hAnsi="GHEA Grapalat" w:cs="Sylfaen"/>
          <w:i/>
          <w:sz w:val="16"/>
          <w:szCs w:val="16"/>
        </w:rPr>
        <w:t xml:space="preserve"> </w:t>
      </w:r>
      <w:r w:rsidRPr="00BC2C75">
        <w:rPr>
          <w:rFonts w:ascii="GHEA Grapalat" w:hAnsi="GHEA Grapalat" w:cs="GHEA Grapalat"/>
          <w:i/>
          <w:sz w:val="16"/>
          <w:szCs w:val="16"/>
        </w:rPr>
        <w:t>տեմպերը</w:t>
      </w:r>
      <w:r w:rsidR="006D5D46" w:rsidRPr="008040E9">
        <w:rPr>
          <w:rFonts w:ascii="GHEA Grapalat" w:hAnsi="GHEA Grapalat" w:cs="GHEA Grapalat"/>
          <w:i/>
          <w:sz w:val="16"/>
          <w:szCs w:val="16"/>
        </w:rPr>
        <w:t>:</w:t>
      </w:r>
    </w:p>
    <w:p w14:paraId="4F9A30D6" w14:textId="77777777" w:rsidR="00731FE8" w:rsidRDefault="00731FE8" w:rsidP="00BC2C75">
      <w:pPr>
        <w:spacing w:line="276" w:lineRule="auto"/>
        <w:ind w:firstLine="567"/>
        <w:jc w:val="both"/>
        <w:rPr>
          <w:rFonts w:ascii="GHEA Grapalat" w:eastAsia="Calibri" w:hAnsi="GHEA Grapalat" w:cs="Sylfaen"/>
          <w:sz w:val="22"/>
          <w:szCs w:val="22"/>
        </w:rPr>
      </w:pPr>
    </w:p>
    <w:p w14:paraId="6C69F2EC" w14:textId="1E7FEC64"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 xml:space="preserve">Վարկերի աճը հիմնականում պայմանավորվել է սպառողական (աճը՝ 33.3%, նպաստումը՝ 7.8 տոկոսային կետ), </w:t>
      </w:r>
      <w:r w:rsidR="009C150D">
        <w:rPr>
          <w:rFonts w:ascii="GHEA Grapalat" w:eastAsia="Calibri" w:hAnsi="GHEA Grapalat" w:cs="Sylfaen"/>
          <w:sz w:val="22"/>
          <w:szCs w:val="22"/>
        </w:rPr>
        <w:t xml:space="preserve"> հիպոտեկ</w:t>
      </w:r>
      <w:r w:rsidRPr="00345A1C">
        <w:rPr>
          <w:rFonts w:ascii="GHEA Grapalat" w:eastAsia="Calibri" w:hAnsi="GHEA Grapalat" w:cs="Sylfaen"/>
          <w:sz w:val="22"/>
          <w:szCs w:val="22"/>
        </w:rPr>
        <w:t xml:space="preserve">ային (աճը՝ 32.5%, նպաստումը՝ 7.6 տոկոսային կետ), շինարարության (աճը՝ 32.7%, նպաստումը՝ 3.5 տոկոսային կետ), արդյունաբերության (աճը՝ 17%, նպաստումը՝ 1.9 տոկոսային կետ) և գյուղատնտեսության (աճը՝ 23.1, նպաստումը՝ 1.4 տոկոսային կետ), ինչպես նաև առավել փոքր նպաստումներով առևտրի, սպասարկման, տրանսպորտի և կապի ոլորտներին ուղղված վարկերով։ </w:t>
      </w:r>
    </w:p>
    <w:p w14:paraId="3799308F" w14:textId="663DF9BF" w:rsidR="00871455" w:rsidRPr="00345A1C" w:rsidRDefault="0025536A" w:rsidP="00BC2C75">
      <w:pPr>
        <w:spacing w:line="276" w:lineRule="auto"/>
        <w:ind w:firstLine="567"/>
        <w:jc w:val="both"/>
        <w:rPr>
          <w:rFonts w:ascii="GHEA Grapalat" w:eastAsia="Calibri" w:hAnsi="GHEA Grapalat" w:cs="Sylfaen"/>
          <w:sz w:val="22"/>
          <w:szCs w:val="22"/>
        </w:rPr>
      </w:pPr>
      <w:r w:rsidRPr="006D5D46">
        <w:rPr>
          <w:rFonts w:ascii="GHEA Grapalat" w:eastAsia="Calibri" w:hAnsi="GHEA Grapalat" w:cs="Sylfaen"/>
          <w:sz w:val="22"/>
          <w:szCs w:val="22"/>
        </w:rPr>
        <w:t>2024</w:t>
      </w:r>
      <w:r w:rsidR="00871455" w:rsidRPr="006D5D46">
        <w:rPr>
          <w:rFonts w:ascii="GHEA Grapalat" w:eastAsia="Calibri" w:hAnsi="GHEA Grapalat" w:cs="Sylfaen"/>
          <w:sz w:val="22"/>
          <w:szCs w:val="22"/>
        </w:rPr>
        <w:t>թ</w:t>
      </w:r>
      <w:r w:rsidRPr="006D5D46">
        <w:rPr>
          <w:rFonts w:ascii="GHEA Grapalat" w:eastAsia="Calibri" w:hAnsi="GHEA Grapalat" w:cs="Sylfaen"/>
          <w:sz w:val="22"/>
          <w:szCs w:val="22"/>
        </w:rPr>
        <w:t>.</w:t>
      </w:r>
      <w:r w:rsidR="00871455" w:rsidRPr="006D5D46">
        <w:rPr>
          <w:rFonts w:ascii="GHEA Grapalat" w:eastAsia="Calibri" w:hAnsi="GHEA Grapalat" w:cs="Sylfaen"/>
          <w:sz w:val="22"/>
          <w:szCs w:val="22"/>
        </w:rPr>
        <w:t xml:space="preserve"> ավանդների (և՛ ռեզիդենտների, և՛ ոչ ռեզիդենտների) աճի տեմպը դանդաղել է։</w:t>
      </w:r>
      <w:r w:rsidR="00871455" w:rsidRPr="00345A1C">
        <w:rPr>
          <w:rFonts w:ascii="GHEA Grapalat" w:eastAsia="Calibri" w:hAnsi="GHEA Grapalat" w:cs="Sylfaen"/>
          <w:b/>
          <w:bCs/>
          <w:sz w:val="22"/>
          <w:szCs w:val="22"/>
        </w:rPr>
        <w:t xml:space="preserve"> </w:t>
      </w:r>
      <w:r w:rsidR="00871455" w:rsidRPr="00345A1C">
        <w:rPr>
          <w:rFonts w:ascii="GHEA Grapalat" w:eastAsia="Calibri" w:hAnsi="GHEA Grapalat" w:cs="Sylfaen"/>
          <w:sz w:val="22"/>
          <w:szCs w:val="22"/>
        </w:rPr>
        <w:t>Առևտրային բանկերի կողմից ռեզիդենտներից ներգրավված ավանդներն աճել են 15%</w:t>
      </w:r>
      <w:r w:rsidR="00871455" w:rsidRPr="00345A1C">
        <w:rPr>
          <w:rFonts w:ascii="GHEA Grapalat" w:eastAsia="Calibri" w:hAnsi="GHEA Grapalat" w:cs="Sylfaen"/>
          <w:sz w:val="22"/>
          <w:szCs w:val="22"/>
        </w:rPr>
        <w:noBreakHyphen/>
        <w:t>ով: Ավանդների աճին 6.9 տոկոսային կետով նպաստել է տնային տնտեսությունների ավանդների աճը, իսկ ձեռնարկությունների ավանդները նպաստել են 5.8 տոկոսային կետով։</w:t>
      </w:r>
      <w:r w:rsidR="00B85C24">
        <w:rPr>
          <w:rFonts w:ascii="GHEA Grapalat" w:eastAsia="Calibri" w:hAnsi="GHEA Grapalat" w:cs="Sylfaen"/>
          <w:sz w:val="22"/>
          <w:szCs w:val="22"/>
        </w:rPr>
        <w:t xml:space="preserve"> </w:t>
      </w:r>
      <w:r w:rsidR="00871455" w:rsidRPr="00345A1C">
        <w:rPr>
          <w:rFonts w:ascii="GHEA Grapalat" w:eastAsia="Calibri" w:hAnsi="GHEA Grapalat" w:cs="Sylfaen"/>
          <w:sz w:val="22"/>
          <w:szCs w:val="22"/>
        </w:rPr>
        <w:t>Արժութային կառուցվածքի տեսակետից 13.7 տոկոսային կետով դրական նպաստում է ունեցել դրամային ավանդների աճը, իսկ արտարժութային ավանդների նպաստումը կազմել է 1.3 տոկոսային կետ: Ռեզիդենտների ավանդների աճին ցպահանջ ավանդները նպաստել են 7, իսկ ժամկետային ավանդները՝ 8.1 տոկոսային կետով։</w:t>
      </w:r>
      <w:r w:rsidR="00B85C24">
        <w:rPr>
          <w:rFonts w:ascii="GHEA Grapalat" w:eastAsia="Calibri" w:hAnsi="GHEA Grapalat" w:cs="Sylfaen"/>
          <w:sz w:val="22"/>
          <w:szCs w:val="22"/>
        </w:rPr>
        <w:t xml:space="preserve"> </w:t>
      </w:r>
    </w:p>
    <w:p w14:paraId="0AE8BC4A" w14:textId="6A8936EC"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Ոչ ռեզիդենտների ավանդները</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դեկտեմբերին աճել են 10.1%-</w:t>
      </w:r>
      <w:r w:rsidR="003C68DC">
        <w:rPr>
          <w:rFonts w:ascii="GHEA Grapalat" w:eastAsia="Calibri" w:hAnsi="GHEA Grapalat" w:cs="Sylfaen"/>
          <w:sz w:val="22"/>
          <w:szCs w:val="22"/>
        </w:rPr>
        <w:t>ով,</w:t>
      </w:r>
      <w:r w:rsidRPr="00345A1C">
        <w:rPr>
          <w:rFonts w:ascii="GHEA Grapalat" w:eastAsia="Calibri" w:hAnsi="GHEA Grapalat" w:cs="Sylfaen"/>
          <w:sz w:val="22"/>
          <w:szCs w:val="22"/>
        </w:rPr>
        <w:t xml:space="preserve"> ընդ որում</w:t>
      </w:r>
      <w:r w:rsidR="003C68DC" w:rsidRPr="008040E9">
        <w:rPr>
          <w:rFonts w:ascii="GHEA Grapalat" w:eastAsia="Calibri" w:hAnsi="GHEA Grapalat" w:cs="Sylfaen"/>
          <w:sz w:val="22"/>
          <w:szCs w:val="22"/>
        </w:rPr>
        <w:t>՝</w:t>
      </w:r>
      <w:r w:rsidRPr="00345A1C">
        <w:rPr>
          <w:rFonts w:ascii="GHEA Grapalat" w:eastAsia="Calibri" w:hAnsi="GHEA Grapalat" w:cs="Sylfaen"/>
          <w:sz w:val="22"/>
          <w:szCs w:val="22"/>
        </w:rPr>
        <w:t xml:space="preserve"> տարվա վերջին ամիսներին արտարժութային ավանդների աճը առաջանցիկ է եղել դրամային ավանդների նկատմամբ։ Ոչ ռեզիդենտների ավանդների կազմում արտարժութային ավա</w:t>
      </w:r>
      <w:r w:rsidR="00AE6AFB" w:rsidRPr="008040E9">
        <w:rPr>
          <w:rFonts w:ascii="GHEA Grapalat" w:eastAsia="Calibri" w:hAnsi="GHEA Grapalat" w:cs="Sylfaen"/>
          <w:sz w:val="22"/>
          <w:szCs w:val="22"/>
        </w:rPr>
        <w:t>ն</w:t>
      </w:r>
      <w:r w:rsidRPr="00345A1C">
        <w:rPr>
          <w:rFonts w:ascii="GHEA Grapalat" w:eastAsia="Calibri" w:hAnsi="GHEA Grapalat" w:cs="Sylfaen"/>
          <w:sz w:val="22"/>
          <w:szCs w:val="22"/>
        </w:rPr>
        <w:t>դների աճը կազմել է 8% (նպաստումը՝ 6.6 տոկոսային կետ), դրամային ավանդների աճը կազմել է 19.3%, նպաստումը՝ 3.5 տոկոսային կետ: Միաժամանակ, ոչ ռեզիդենտների ավանդների ընթացիկ ցուցանիշները 2022 փետրվարի ցուցանիշի համեմատ (մինչև ՌԴ-ից մարդկանց ու կապիտալի ներհոսքը դեպի ՀՀ) շարունակում է զգալիորեն բարձր մնալ՝</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վերջի դրությամբ շուրջ 71%-ով կամ 622 մլրդ դրամով։</w:t>
      </w:r>
    </w:p>
    <w:p w14:paraId="1D8C0A4C" w14:textId="5C2985AB" w:rsidR="00871455"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ավանդների դոլարայնացման մակարդակը</w:t>
      </w:r>
      <w:r w:rsidR="005734F1">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ի համեմատ նախորդ տարվա</w:t>
      </w:r>
      <w:r w:rsidR="005734F1">
        <w:rPr>
          <w:rFonts w:ascii="GHEA Grapalat" w:eastAsia="Calibri" w:hAnsi="GHEA Grapalat" w:cs="Sylfaen"/>
          <w:sz w:val="22"/>
          <w:szCs w:val="22"/>
        </w:rPr>
        <w:t xml:space="preserve">, </w:t>
      </w:r>
      <w:r w:rsidR="00871455" w:rsidRPr="00345A1C">
        <w:rPr>
          <w:rFonts w:ascii="GHEA Grapalat" w:eastAsia="Calibri" w:hAnsi="GHEA Grapalat" w:cs="Sylfaen"/>
          <w:sz w:val="22"/>
          <w:szCs w:val="22"/>
        </w:rPr>
        <w:t xml:space="preserve">նվազել է 3.9 տոկոսային կետով` դեկտեմբերին կազմելով 46.6%, իսկ վարկերի դոլարայնացման մակարդակը նվազել է 3 տոկոսային կետով` կազմելով 32.7%: Միայն ռեզիդենտների ցուցանիշները դիտարկելու դեպքում, ավանդների դոլարայնացումը նախորդ տարվա համեմատ նվազել է 4.2 </w:t>
      </w:r>
      <w:r w:rsidR="00871455" w:rsidRPr="00345A1C">
        <w:rPr>
          <w:rFonts w:ascii="GHEA Grapalat" w:eastAsia="Calibri" w:hAnsi="GHEA Grapalat" w:cs="Sylfaen"/>
          <w:sz w:val="22"/>
          <w:szCs w:val="22"/>
        </w:rPr>
        <w:lastRenderedPageBreak/>
        <w:t xml:space="preserve">տոկոսային կետով՝ կազմելով 36.5%, իսկ վարկերի դոլարայնացումը նվազել է 2.6 տոկոսային կետով՝ կազմելով 31.6%։ </w:t>
      </w:r>
    </w:p>
    <w:p w14:paraId="7B427782" w14:textId="77777777" w:rsidR="00731FE8" w:rsidRPr="00345A1C" w:rsidRDefault="00731FE8" w:rsidP="00BC2C75">
      <w:pPr>
        <w:spacing w:line="276" w:lineRule="auto"/>
        <w:ind w:firstLine="567"/>
        <w:jc w:val="both"/>
        <w:rPr>
          <w:rFonts w:ascii="GHEA Grapalat" w:eastAsia="Calibri" w:hAnsi="GHEA Grapalat" w:cs="Sylfaen"/>
          <w:sz w:val="22"/>
          <w:szCs w:val="22"/>
        </w:rPr>
      </w:pPr>
    </w:p>
    <w:p w14:paraId="15AF6EB7" w14:textId="3C2F5C09" w:rsidR="00871455" w:rsidRPr="0025536A" w:rsidRDefault="00871455" w:rsidP="00731FE8">
      <w:pPr>
        <w:keepNext/>
        <w:keepLines/>
        <w:tabs>
          <w:tab w:val="left" w:pos="284"/>
          <w:tab w:val="left" w:pos="1560"/>
          <w:tab w:val="left" w:pos="1980"/>
        </w:tabs>
        <w:autoSpaceDE w:val="0"/>
        <w:autoSpaceDN w:val="0"/>
        <w:adjustRightInd w:val="0"/>
        <w:spacing w:line="276" w:lineRule="auto"/>
        <w:jc w:val="both"/>
        <w:rPr>
          <w:rFonts w:ascii="GHEA Grapalat" w:eastAsia="GHEA Grapalat" w:hAnsi="GHEA Grapalat" w:cs="GHEA Grapalat"/>
          <w:b/>
          <w:sz w:val="18"/>
          <w:szCs w:val="18"/>
        </w:rPr>
      </w:pPr>
      <w:r w:rsidRPr="0025536A">
        <w:rPr>
          <w:rFonts w:ascii="GHEA Grapalat" w:eastAsia="GHEA Grapalat" w:hAnsi="GHEA Grapalat" w:cs="GHEA Grapalat"/>
          <w:b/>
          <w:sz w:val="18"/>
          <w:szCs w:val="18"/>
        </w:rPr>
        <w:t>Գծապատկեր 32. ՀՀ բանկերի վարկային և ավանդային պորտֆելները, 2020-2024թթ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06371AC1"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2BE35C71" wp14:editId="4C908A18">
            <wp:extent cx="3195955" cy="2663825"/>
            <wp:effectExtent l="0" t="0" r="4445" b="31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55425EF2" wp14:editId="6C660759">
            <wp:extent cx="3168000" cy="2664000"/>
            <wp:effectExtent l="0" t="0" r="13970"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B0A2167" w14:textId="77777777" w:rsidR="00871455" w:rsidRPr="00BC2C75" w:rsidRDefault="00871455" w:rsidP="008F473A">
      <w:pPr>
        <w:spacing w:line="276" w:lineRule="auto"/>
        <w:jc w:val="both"/>
        <w:rPr>
          <w:rFonts w:ascii="GHEA Grapalat" w:eastAsia="Calibri" w:hAnsi="GHEA Grapalat" w:cs="Sylfaen"/>
          <w:i/>
          <w:iCs/>
          <w:sz w:val="16"/>
          <w:szCs w:val="16"/>
        </w:rPr>
      </w:pPr>
      <w:r w:rsidRPr="00BC2C75">
        <w:rPr>
          <w:rFonts w:ascii="GHEA Grapalat" w:hAnsi="GHEA Grapalat"/>
          <w:i/>
          <w:iCs/>
          <w:sz w:val="16"/>
          <w:szCs w:val="16"/>
        </w:rPr>
        <w:t>Աղբյուրը՝ ՀՀ ԿԲ, ՀՀ ՖՆ հաշվարկներ</w:t>
      </w:r>
    </w:p>
    <w:p w14:paraId="6853816F" w14:textId="77777777" w:rsidR="00731FE8" w:rsidRPr="008F473A" w:rsidRDefault="00731FE8" w:rsidP="00BC2C75">
      <w:pPr>
        <w:spacing w:line="276" w:lineRule="auto"/>
        <w:ind w:firstLine="567"/>
        <w:jc w:val="both"/>
        <w:rPr>
          <w:rFonts w:ascii="GHEA Grapalat" w:eastAsia="Calibri" w:hAnsi="GHEA Grapalat" w:cs="Sylfaen"/>
          <w:sz w:val="22"/>
          <w:szCs w:val="22"/>
        </w:rPr>
      </w:pPr>
    </w:p>
    <w:p w14:paraId="1EB0243E" w14:textId="1D140994"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hAnsi="GHEA Grapalat" w:cs="GHEA Grapalat"/>
          <w:b/>
          <w:i/>
          <w:sz w:val="22"/>
          <w:szCs w:val="22"/>
        </w:rPr>
        <w:t>Վարկերի և ավանդների տոկոսադրույքներ:</w:t>
      </w:r>
      <w:r w:rsidRPr="00345A1C">
        <w:rPr>
          <w:rFonts w:ascii="GHEA Grapalat" w:hAnsi="GHEA Grapalat" w:cs="GHEA Grapalat"/>
          <w:sz w:val="22"/>
          <w:szCs w:val="22"/>
        </w:rPr>
        <w:t xml:space="preserve"> </w:t>
      </w:r>
      <w:r w:rsidRPr="008F473A">
        <w:rPr>
          <w:rFonts w:ascii="GHEA Grapalat" w:eastAsia="Calibri" w:hAnsi="GHEA Grapalat" w:cs="Sylfaen"/>
          <w:sz w:val="22"/>
          <w:szCs w:val="22"/>
        </w:rPr>
        <w:t xml:space="preserve">Ավանդների տոկոսադրույքները հիմնականում տատանվում են իրենց միջին մակարդակների շուրջ, իսկ վարկերի </w:t>
      </w:r>
      <w:r w:rsidR="008F473A">
        <w:rPr>
          <w:rFonts w:ascii="GHEA Grapalat" w:eastAsia="Calibri" w:hAnsi="GHEA Grapalat" w:cs="Sylfaen"/>
          <w:sz w:val="22"/>
          <w:szCs w:val="22"/>
        </w:rPr>
        <w:t>տոկոսադրույքներն</w:t>
      </w:r>
      <w:r w:rsidRPr="008F473A">
        <w:rPr>
          <w:rFonts w:ascii="GHEA Grapalat" w:eastAsia="Calibri" w:hAnsi="GHEA Grapalat" w:cs="Sylfaen"/>
          <w:sz w:val="22"/>
          <w:szCs w:val="22"/>
        </w:rPr>
        <w:t xml:space="preserve"> առանձին դեպքերում պահանջարկի ազդեցությամբ որոշակի</w:t>
      </w:r>
      <w:r w:rsidR="008F473A" w:rsidRPr="008040E9">
        <w:rPr>
          <w:rFonts w:ascii="GHEA Grapalat" w:eastAsia="Calibri" w:hAnsi="GHEA Grapalat" w:cs="Sylfaen"/>
          <w:sz w:val="22"/>
          <w:szCs w:val="22"/>
        </w:rPr>
        <w:t>որեն</w:t>
      </w:r>
      <w:r w:rsidRPr="008F473A">
        <w:rPr>
          <w:rFonts w:ascii="GHEA Grapalat" w:eastAsia="Calibri" w:hAnsi="GHEA Grapalat" w:cs="Sylfaen"/>
          <w:sz w:val="22"/>
          <w:szCs w:val="22"/>
        </w:rPr>
        <w:t xml:space="preserve"> աճել են։ </w:t>
      </w:r>
      <w:r w:rsidR="009C150D" w:rsidRPr="008F473A">
        <w:rPr>
          <w:rFonts w:ascii="GHEA Grapalat" w:eastAsia="Calibri" w:hAnsi="GHEA Grapalat" w:cs="Sylfaen"/>
          <w:sz w:val="22"/>
          <w:szCs w:val="22"/>
        </w:rPr>
        <w:t xml:space="preserve"> </w:t>
      </w:r>
      <w:r w:rsidR="008F473A" w:rsidRPr="008040E9">
        <w:rPr>
          <w:rFonts w:ascii="GHEA Grapalat" w:eastAsia="Calibri" w:hAnsi="GHEA Grapalat" w:cs="Sylfaen"/>
          <w:sz w:val="22"/>
          <w:szCs w:val="22"/>
        </w:rPr>
        <w:t>Հ</w:t>
      </w:r>
      <w:r w:rsidR="009C150D" w:rsidRPr="008F473A">
        <w:rPr>
          <w:rFonts w:ascii="GHEA Grapalat" w:eastAsia="Calibri" w:hAnsi="GHEA Grapalat" w:cs="Sylfaen"/>
          <w:sz w:val="22"/>
          <w:szCs w:val="22"/>
        </w:rPr>
        <w:t>իպոտեկ</w:t>
      </w:r>
      <w:r w:rsidRPr="008F473A">
        <w:rPr>
          <w:rFonts w:ascii="GHEA Grapalat" w:eastAsia="Calibri" w:hAnsi="GHEA Grapalat" w:cs="Sylfaen"/>
          <w:sz w:val="22"/>
          <w:szCs w:val="22"/>
        </w:rPr>
        <w:t>ային և սպառողական վարկերի տոկոսադրույքները</w:t>
      </w:r>
      <w:r w:rsidR="0025536A" w:rsidRPr="008F473A">
        <w:rPr>
          <w:rFonts w:ascii="GHEA Grapalat" w:eastAsia="Calibri" w:hAnsi="GHEA Grapalat" w:cs="Sylfaen"/>
          <w:sz w:val="22"/>
          <w:szCs w:val="22"/>
        </w:rPr>
        <w:t xml:space="preserve"> 2024</w:t>
      </w:r>
      <w:r w:rsidRPr="008F473A">
        <w:rPr>
          <w:rFonts w:ascii="GHEA Grapalat" w:eastAsia="Calibri" w:hAnsi="GHEA Grapalat" w:cs="Sylfaen"/>
          <w:sz w:val="22"/>
          <w:szCs w:val="22"/>
        </w:rPr>
        <w:t>թ</w:t>
      </w:r>
      <w:r w:rsidR="0025536A" w:rsidRPr="008F473A">
        <w:rPr>
          <w:rFonts w:ascii="GHEA Grapalat" w:eastAsia="Calibri" w:hAnsi="GHEA Grapalat" w:cs="Sylfaen"/>
          <w:sz w:val="22"/>
          <w:szCs w:val="22"/>
        </w:rPr>
        <w:t>.</w:t>
      </w:r>
      <w:r w:rsidRPr="008F473A">
        <w:rPr>
          <w:rFonts w:ascii="GHEA Grapalat" w:eastAsia="Calibri" w:hAnsi="GHEA Grapalat" w:cs="Sylfaen"/>
          <w:sz w:val="22"/>
          <w:szCs w:val="22"/>
        </w:rPr>
        <w:t xml:space="preserve"> ընթացքում կայունացել են։ </w:t>
      </w:r>
      <w:r w:rsidR="0025536A">
        <w:rPr>
          <w:rFonts w:ascii="GHEA Grapalat" w:eastAsia="Calibri" w:hAnsi="GHEA Grapalat" w:cs="Sylfaen"/>
          <w:sz w:val="22"/>
          <w:szCs w:val="22"/>
        </w:rPr>
        <w:t>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ՀՀ դրամով վարկավորման (մինչև մեկ տարի ժամկետով) միջին տարեկան տոկոսադրույքը կազմել է 13.1%՝ նախորդ տարվա նկատմամբ աճելով 0.8 տոկոսային կետով: ՀՀ դրամային ավանդների (մինչև մեկ տարի ժամկետով) միջին տոկոսադրույքը կազմել է 8.1%՝ նվազելով 0.2 տոկոսային կետով:</w:t>
      </w:r>
      <w:r w:rsidRPr="00345A1C">
        <w:rPr>
          <w:rFonts w:ascii="GHEA Grapalat" w:eastAsia="Calibri" w:hAnsi="GHEA Grapalat" w:cs="Sylfaen"/>
          <w:sz w:val="22"/>
          <w:szCs w:val="22"/>
        </w:rPr>
        <w:tab/>
      </w:r>
    </w:p>
    <w:p w14:paraId="666B1E5C" w14:textId="77777777"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Արտարժույթով ավանդների (մինչև մեկ տարի ժամկետով) տոկոսադրույքը նախորդ տարվա համեմատությամբ մնացել է անփոփոխ՝ կազմելով 2.5%, իսկ վարկերի (մինչև մեկ տարի ժամկետով) տոկոսադրույքը կազմել է 7.8%՝ նվազելով 0.1 տոկոսային կետով:</w:t>
      </w:r>
    </w:p>
    <w:p w14:paraId="3678A655" w14:textId="065EA3D8"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Ֆինանսական շուկայում արտարժույթով և դրամով միջին կշռված (մինչև 1 տարի ժամկետով) տոկոսադրույքների միջև միջին սպրեդը</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դեկտեմբերին նախորդ տարվա նույն ամսվա</w:t>
      </w:r>
      <w:r w:rsidR="00B85C24">
        <w:rPr>
          <w:rFonts w:ascii="GHEA Grapalat" w:eastAsia="Calibri" w:hAnsi="GHEA Grapalat" w:cs="Sylfaen"/>
          <w:sz w:val="22"/>
          <w:szCs w:val="22"/>
        </w:rPr>
        <w:t xml:space="preserve"> </w:t>
      </w:r>
      <w:r w:rsidRPr="00345A1C">
        <w:rPr>
          <w:rFonts w:ascii="GHEA Grapalat" w:eastAsia="Calibri" w:hAnsi="GHEA Grapalat" w:cs="Sylfaen"/>
          <w:sz w:val="22"/>
          <w:szCs w:val="22"/>
        </w:rPr>
        <w:t>նկատմամբ աճել է 0.7 տոկոսային կետով և կազմել</w:t>
      </w:r>
      <w:r w:rsidR="00615957">
        <w:rPr>
          <w:rFonts w:ascii="GHEA Grapalat" w:eastAsia="Calibri" w:hAnsi="GHEA Grapalat" w:cs="Sylfaen"/>
          <w:sz w:val="22"/>
          <w:szCs w:val="22"/>
        </w:rPr>
        <w:t xml:space="preserve"> 6.1</w:t>
      </w:r>
      <w:r w:rsidR="00615957" w:rsidRPr="008040E9">
        <w:rPr>
          <w:rFonts w:ascii="GHEA Grapalat" w:eastAsia="Calibri" w:hAnsi="GHEA Grapalat" w:cs="Sylfaen"/>
          <w:sz w:val="22"/>
          <w:szCs w:val="22"/>
        </w:rPr>
        <w:t>%</w:t>
      </w:r>
      <w:r w:rsidRPr="00345A1C">
        <w:rPr>
          <w:rFonts w:ascii="GHEA Grapalat" w:eastAsia="Calibri" w:hAnsi="GHEA Grapalat" w:cs="Sylfaen"/>
          <w:sz w:val="22"/>
          <w:szCs w:val="22"/>
        </w:rPr>
        <w:t>: Դրամով վարկերի և ավանդների միջև տոկոսադրույքների սպրեդը կազմել է 5%՝ աճելով 0.7 տոկ</w:t>
      </w:r>
      <w:r w:rsidR="002D0592" w:rsidRPr="008040E9">
        <w:rPr>
          <w:rFonts w:ascii="GHEA Grapalat" w:eastAsia="Calibri" w:hAnsi="GHEA Grapalat" w:cs="Sylfaen"/>
          <w:sz w:val="22"/>
          <w:szCs w:val="22"/>
        </w:rPr>
        <w:t>ո</w:t>
      </w:r>
      <w:r w:rsidRPr="00345A1C">
        <w:rPr>
          <w:rFonts w:ascii="GHEA Grapalat" w:eastAsia="Calibri" w:hAnsi="GHEA Grapalat" w:cs="Sylfaen"/>
          <w:sz w:val="22"/>
          <w:szCs w:val="22"/>
        </w:rPr>
        <w:t>սային կետով, իսկ արտարժույթով վարկերի և ավանդների սպրեդ</w:t>
      </w:r>
      <w:r w:rsidR="00615957" w:rsidRPr="008040E9">
        <w:rPr>
          <w:rFonts w:ascii="GHEA Grapalat" w:eastAsia="Calibri" w:hAnsi="GHEA Grapalat" w:cs="Sylfaen"/>
          <w:sz w:val="22"/>
          <w:szCs w:val="22"/>
        </w:rPr>
        <w:t>ն</w:t>
      </w:r>
      <w:r w:rsidRPr="00345A1C">
        <w:rPr>
          <w:rFonts w:ascii="GHEA Grapalat" w:eastAsia="Calibri" w:hAnsi="GHEA Grapalat" w:cs="Sylfaen"/>
          <w:sz w:val="22"/>
          <w:szCs w:val="22"/>
        </w:rPr>
        <w:t xml:space="preserve"> աճել է 0.8 տոկոսային կետով՝ կազմելով 5.6%:</w:t>
      </w:r>
    </w:p>
    <w:p w14:paraId="4D91EED5" w14:textId="6F1ADC30"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hAnsi="GHEA Grapalat" w:cs="GHEA Grapalat"/>
          <w:b/>
          <w:i/>
          <w:sz w:val="22"/>
          <w:szCs w:val="22"/>
        </w:rPr>
        <w:t>ՀՀ պետական պարտատոմսերի շուկա:</w:t>
      </w:r>
      <w:r w:rsidRPr="00345A1C">
        <w:rPr>
          <w:rFonts w:ascii="GHEA Grapalat" w:hAnsi="GHEA Grapalat" w:cs="GHEA Grapalat"/>
          <w:sz w:val="22"/>
          <w:szCs w:val="22"/>
        </w:rPr>
        <w:t xml:space="preserve"> </w:t>
      </w:r>
      <w:r w:rsidRPr="00BA342D">
        <w:rPr>
          <w:rFonts w:ascii="GHEA Grapalat" w:eastAsia="Calibri" w:hAnsi="GHEA Grapalat" w:cs="Sylfaen"/>
          <w:sz w:val="22"/>
          <w:szCs w:val="22"/>
        </w:rPr>
        <w:t>ՀՀ պետական պարտատոմսերի շուկայում ՊՊ տեղաբաշխման միջին կշռված եկամտաբերությունները նվազել են` մեծապես պայմանավորված ՀՀ ԿԲ կողմից դրամավարկային պայմանների շարունակական մեղմացման ազդեցություններով։</w:t>
      </w:r>
      <w:r w:rsidRPr="00345A1C">
        <w:rPr>
          <w:rFonts w:ascii="GHEA Grapalat" w:eastAsia="Calibri" w:hAnsi="GHEA Grapalat" w:cs="Sylfaen"/>
          <w:b/>
          <w:bCs/>
          <w:sz w:val="22"/>
          <w:szCs w:val="22"/>
        </w:rPr>
        <w:t xml:space="preserve"> </w:t>
      </w:r>
      <w:r w:rsidR="0025536A">
        <w:rPr>
          <w:rFonts w:ascii="GHEA Grapalat" w:eastAsia="Calibri" w:hAnsi="GHEA Grapalat" w:cs="Sylfaen"/>
          <w:sz w:val="22"/>
          <w:szCs w:val="22"/>
        </w:rPr>
        <w:t>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տեղաբաշխված պետական պարտատոմսերի միջին կշռված եկամտաբերությունը կազմել է 9.8% կամ 1 տոկոսային կետով ավելի քիչ</w:t>
      </w:r>
      <w:r w:rsidR="004A085C" w:rsidRPr="008040E9">
        <w:rPr>
          <w:rFonts w:ascii="GHEA Grapalat" w:eastAsia="Calibri" w:hAnsi="GHEA Grapalat" w:cs="Sylfaen"/>
          <w:sz w:val="22"/>
          <w:szCs w:val="22"/>
        </w:rPr>
        <w:t>,</w:t>
      </w:r>
      <w:r w:rsidRPr="00345A1C">
        <w:rPr>
          <w:rFonts w:ascii="GHEA Grapalat" w:eastAsia="Calibri" w:hAnsi="GHEA Grapalat" w:cs="Sylfaen"/>
          <w:sz w:val="22"/>
          <w:szCs w:val="22"/>
        </w:rPr>
        <w:t xml:space="preserve"> քան</w:t>
      </w:r>
      <w:r w:rsidR="00E0512F">
        <w:rPr>
          <w:rFonts w:ascii="GHEA Grapalat" w:eastAsia="Calibri" w:hAnsi="GHEA Grapalat" w:cs="Sylfaen"/>
          <w:sz w:val="22"/>
          <w:szCs w:val="22"/>
        </w:rPr>
        <w:t xml:space="preserve"> 2023</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(10.8%):</w:t>
      </w:r>
    </w:p>
    <w:p w14:paraId="7284470E" w14:textId="4C7B88BF" w:rsidR="00871455" w:rsidRPr="00345A1C"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տեղաբաշխված պետական պարտատոմսերի ծավալը կազմել է 656 մլրդ դրամ՝</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620 մլրդ դրամի դիմաց, իսկ տեղաբաշխման միջին կշռված ժամկետայնությունը կազմել է 1771 օր՝</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w:t>
      </w:r>
      <w:r w:rsidR="00871455" w:rsidRPr="00345A1C">
        <w:rPr>
          <w:rFonts w:ascii="GHEA Grapalat" w:eastAsia="GHEA Grapalat" w:hAnsi="GHEA Grapalat" w:cs="GHEA Grapalat"/>
          <w:sz w:val="22"/>
          <w:szCs w:val="22"/>
        </w:rPr>
        <w:t xml:space="preserve">2381 </w:t>
      </w:r>
      <w:r w:rsidR="00871455" w:rsidRPr="00345A1C">
        <w:rPr>
          <w:rFonts w:ascii="GHEA Grapalat" w:eastAsia="Calibri" w:hAnsi="GHEA Grapalat" w:cs="Sylfaen"/>
          <w:sz w:val="22"/>
          <w:szCs w:val="22"/>
        </w:rPr>
        <w:t>օր ցուցանիշի համեմատ:</w:t>
      </w:r>
    </w:p>
    <w:p w14:paraId="57A6D095" w14:textId="60D5C97B" w:rsidR="00871455"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lastRenderedPageBreak/>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պետական (շուկայական) պարտատոմսերի նկատմամբ պահանջարկը գերազանցել է տեղաբաշխման ցուցանիշը 1.7 անգամ</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2.1 անգամ), իսկ տեղաբաշխման ենթակա ծավալ/տեղաբաշխված ծավալ միջին հարաբերակցությունը կազմել է 1.2` անփոփոխ մնալով նախորդ տարվա համեմատ։</w:t>
      </w:r>
    </w:p>
    <w:p w14:paraId="71D46E50" w14:textId="77777777" w:rsidR="00731FE8" w:rsidRPr="00345A1C" w:rsidRDefault="00731FE8" w:rsidP="00BC2C75">
      <w:pPr>
        <w:spacing w:line="276" w:lineRule="auto"/>
        <w:ind w:firstLine="567"/>
        <w:jc w:val="both"/>
        <w:rPr>
          <w:rFonts w:ascii="GHEA Grapalat" w:eastAsia="Calibri" w:hAnsi="GHEA Grapalat" w:cs="Sylfaen"/>
          <w:sz w:val="22"/>
          <w:szCs w:val="22"/>
        </w:rPr>
      </w:pPr>
    </w:p>
    <w:p w14:paraId="5947A3BB" w14:textId="78F4A5B2" w:rsidR="00871455" w:rsidRPr="0025536A" w:rsidRDefault="00871455" w:rsidP="00731FE8">
      <w:pPr>
        <w:keepNext/>
        <w:keepLines/>
        <w:tabs>
          <w:tab w:val="left" w:pos="284"/>
          <w:tab w:val="left" w:pos="1560"/>
          <w:tab w:val="left" w:pos="1980"/>
        </w:tabs>
        <w:autoSpaceDE w:val="0"/>
        <w:autoSpaceDN w:val="0"/>
        <w:adjustRightInd w:val="0"/>
        <w:spacing w:line="276" w:lineRule="auto"/>
        <w:jc w:val="both"/>
        <w:rPr>
          <w:rFonts w:ascii="GHEA Grapalat" w:eastAsia="Calibri" w:hAnsi="GHEA Grapalat" w:cs="GHEA Grapalat"/>
          <w:b/>
          <w:sz w:val="18"/>
          <w:szCs w:val="18"/>
        </w:rPr>
      </w:pPr>
      <w:r w:rsidRPr="0025536A">
        <w:rPr>
          <w:rFonts w:ascii="GHEA Grapalat" w:eastAsia="GHEA Grapalat" w:hAnsi="GHEA Grapalat" w:cs="GHEA Grapalat"/>
          <w:b/>
          <w:sz w:val="18"/>
          <w:szCs w:val="18"/>
        </w:rPr>
        <w:t>Գծապատկեր 33. ՀՀ</w:t>
      </w:r>
      <w:r w:rsidR="00B85C24">
        <w:rPr>
          <w:rFonts w:ascii="GHEA Grapalat" w:eastAsia="GHEA Grapalat" w:hAnsi="GHEA Grapalat" w:cs="GHEA Grapalat"/>
          <w:b/>
          <w:sz w:val="18"/>
          <w:szCs w:val="18"/>
        </w:rPr>
        <w:t xml:space="preserve"> </w:t>
      </w:r>
      <w:r w:rsidRPr="0025536A">
        <w:rPr>
          <w:rFonts w:ascii="GHEA Grapalat" w:eastAsia="GHEA Grapalat" w:hAnsi="GHEA Grapalat" w:cs="GHEA Grapalat"/>
          <w:b/>
          <w:sz w:val="18"/>
          <w:szCs w:val="18"/>
        </w:rPr>
        <w:t>պետական պարտատոմսերի առաջնային շուկայի զարգացումները 2020-2024թթ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2C611BB8"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lang w:val="en-US"/>
        </w:rPr>
        <w:drawing>
          <wp:inline distT="0" distB="0" distL="0" distR="0" wp14:anchorId="5CD6267C" wp14:editId="1E8F5145">
            <wp:extent cx="3168000" cy="2664000"/>
            <wp:effectExtent l="0" t="0" r="13970" b="317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7B2D7EF5" wp14:editId="1B6C745E">
            <wp:extent cx="3168000" cy="2664000"/>
            <wp:effectExtent l="0" t="0" r="1397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4713311" w14:textId="77777777" w:rsidR="00871455" w:rsidRPr="00BC2C75" w:rsidRDefault="00871455" w:rsidP="00BC2C75">
      <w:pPr>
        <w:spacing w:after="120" w:line="276" w:lineRule="auto"/>
        <w:jc w:val="both"/>
        <w:rPr>
          <w:rFonts w:ascii="GHEA Grapalat" w:eastAsia="Calibri" w:hAnsi="GHEA Grapalat" w:cs="Sylfaen"/>
          <w:i/>
          <w:sz w:val="16"/>
          <w:szCs w:val="16"/>
        </w:rPr>
      </w:pPr>
      <w:r w:rsidRPr="00BC2C75">
        <w:rPr>
          <w:rFonts w:ascii="GHEA Grapalat" w:hAnsi="GHEA Grapalat"/>
          <w:i/>
          <w:sz w:val="16"/>
          <w:szCs w:val="16"/>
        </w:rPr>
        <w:t>Աղբյուրը՝ ՀՀ ՖՆ</w:t>
      </w:r>
    </w:p>
    <w:p w14:paraId="6E8E56E6" w14:textId="77777777" w:rsidR="00731FE8" w:rsidRPr="008471A1" w:rsidRDefault="00731FE8" w:rsidP="00BC2C75">
      <w:pPr>
        <w:spacing w:line="276" w:lineRule="auto"/>
        <w:ind w:firstLine="567"/>
        <w:jc w:val="both"/>
        <w:rPr>
          <w:rFonts w:ascii="GHEA Grapalat" w:eastAsia="Calibri" w:hAnsi="GHEA Grapalat" w:cs="Sylfaen"/>
          <w:sz w:val="22"/>
          <w:szCs w:val="22"/>
        </w:rPr>
      </w:pPr>
    </w:p>
    <w:p w14:paraId="25C0E91F" w14:textId="6479BFF5" w:rsidR="00871455" w:rsidRPr="00D70CAF" w:rsidRDefault="00871455" w:rsidP="00BC2C75">
      <w:pPr>
        <w:spacing w:line="276" w:lineRule="auto"/>
        <w:ind w:firstLine="567"/>
        <w:jc w:val="both"/>
        <w:rPr>
          <w:rFonts w:ascii="GHEA Grapalat" w:eastAsia="Calibri" w:hAnsi="GHEA Grapalat" w:cs="Sylfaen"/>
          <w:sz w:val="22"/>
          <w:szCs w:val="22"/>
        </w:rPr>
      </w:pPr>
      <w:r w:rsidRPr="00D70CAF">
        <w:rPr>
          <w:rFonts w:ascii="GHEA Grapalat" w:hAnsi="GHEA Grapalat" w:cs="GHEA Grapalat"/>
          <w:b/>
          <w:i/>
          <w:sz w:val="22"/>
          <w:szCs w:val="22"/>
        </w:rPr>
        <w:t>ՀՀ եվրապարտատոմսերի երկրորդային շուկա:</w:t>
      </w:r>
      <w:r w:rsidRPr="00D70CAF">
        <w:rPr>
          <w:rFonts w:ascii="GHEA Grapalat" w:hAnsi="GHEA Grapalat" w:cs="GHEA Grapalat"/>
          <w:sz w:val="22"/>
          <w:szCs w:val="22"/>
        </w:rPr>
        <w:t xml:space="preserve"> </w:t>
      </w:r>
      <w:r w:rsidRPr="008471A1">
        <w:rPr>
          <w:rFonts w:ascii="GHEA Grapalat" w:eastAsia="Calibri" w:hAnsi="GHEA Grapalat" w:cs="Sylfaen"/>
          <w:sz w:val="22"/>
          <w:szCs w:val="22"/>
        </w:rPr>
        <w:t>Երկրի ռիսկի հավելավճարի զգալի նվազմամբ պայմանավորված</w:t>
      </w:r>
      <w:r w:rsidR="008471A1" w:rsidRPr="008040E9">
        <w:rPr>
          <w:rFonts w:ascii="GHEA Grapalat" w:eastAsia="Calibri" w:hAnsi="GHEA Grapalat" w:cs="Sylfaen"/>
          <w:sz w:val="22"/>
          <w:szCs w:val="22"/>
        </w:rPr>
        <w:t>՝</w:t>
      </w:r>
      <w:r w:rsidRPr="008471A1">
        <w:rPr>
          <w:rFonts w:ascii="GHEA Grapalat" w:eastAsia="Calibri" w:hAnsi="GHEA Grapalat" w:cs="Sylfaen"/>
          <w:sz w:val="22"/>
          <w:szCs w:val="22"/>
        </w:rPr>
        <w:t xml:space="preserve"> ՀՀ եվրոպարտատոմսերի երկրորդային շուկայում եկամտաբերություն</w:t>
      </w:r>
      <w:r w:rsidR="008471A1" w:rsidRPr="008040E9">
        <w:rPr>
          <w:rFonts w:ascii="GHEA Grapalat" w:eastAsia="Calibri" w:hAnsi="GHEA Grapalat" w:cs="Sylfaen"/>
          <w:sz w:val="22"/>
          <w:szCs w:val="22"/>
        </w:rPr>
        <w:t>-</w:t>
      </w:r>
      <w:r w:rsidRPr="008471A1">
        <w:rPr>
          <w:rFonts w:ascii="GHEA Grapalat" w:eastAsia="Calibri" w:hAnsi="GHEA Grapalat" w:cs="Sylfaen"/>
          <w:sz w:val="22"/>
          <w:szCs w:val="22"/>
        </w:rPr>
        <w:t>ները</w:t>
      </w:r>
      <w:r w:rsidR="00E0512F" w:rsidRPr="008471A1">
        <w:rPr>
          <w:rFonts w:ascii="GHEA Grapalat" w:eastAsia="Calibri" w:hAnsi="GHEA Grapalat" w:cs="Sylfaen"/>
          <w:sz w:val="22"/>
          <w:szCs w:val="22"/>
        </w:rPr>
        <w:t xml:space="preserve"> 2024</w:t>
      </w:r>
      <w:r w:rsidRPr="008471A1">
        <w:rPr>
          <w:rFonts w:ascii="GHEA Grapalat" w:eastAsia="Calibri" w:hAnsi="GHEA Grapalat" w:cs="Sylfaen"/>
          <w:sz w:val="22"/>
          <w:szCs w:val="22"/>
        </w:rPr>
        <w:t>թ</w:t>
      </w:r>
      <w:r w:rsidR="00E0512F" w:rsidRPr="008471A1">
        <w:rPr>
          <w:rFonts w:ascii="GHEA Grapalat" w:eastAsia="Calibri" w:hAnsi="GHEA Grapalat" w:cs="Sylfaen"/>
          <w:sz w:val="22"/>
          <w:szCs w:val="22"/>
        </w:rPr>
        <w:t>.</w:t>
      </w:r>
      <w:r w:rsidRPr="008471A1">
        <w:rPr>
          <w:rFonts w:ascii="GHEA Grapalat" w:eastAsia="Calibri" w:hAnsi="GHEA Grapalat" w:cs="Sylfaen"/>
          <w:sz w:val="22"/>
          <w:szCs w:val="22"/>
        </w:rPr>
        <w:t xml:space="preserve"> նախորդ տարվա համեմատ նվազել են։ </w:t>
      </w:r>
      <w:r w:rsidRPr="00D70CAF">
        <w:rPr>
          <w:rFonts w:ascii="GHEA Grapalat" w:eastAsia="Calibri" w:hAnsi="GHEA Grapalat" w:cs="Sylfaen"/>
          <w:sz w:val="22"/>
          <w:szCs w:val="22"/>
        </w:rPr>
        <w:t>Միջազգային կապիտալի շուկայում</w:t>
      </w:r>
      <w:r w:rsidR="00E0512F">
        <w:rPr>
          <w:rFonts w:ascii="GHEA Grapalat" w:eastAsia="Calibri" w:hAnsi="GHEA Grapalat" w:cs="Sylfaen"/>
          <w:sz w:val="22"/>
          <w:szCs w:val="22"/>
        </w:rPr>
        <w:t xml:space="preserve"> 2015</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7.5% եկամտաբերությամբ թողարկված պետական արտարժութային պարտատոմսերի եկամտաբերու</w:t>
      </w:r>
      <w:r w:rsidR="005F461F" w:rsidRPr="008040E9">
        <w:rPr>
          <w:rFonts w:ascii="GHEA Grapalat" w:eastAsia="Calibri" w:hAnsi="GHEA Grapalat" w:cs="Sylfaen"/>
          <w:sz w:val="22"/>
          <w:szCs w:val="22"/>
        </w:rPr>
        <w:t>-</w:t>
      </w:r>
      <w:r w:rsidRPr="00D70CAF">
        <w:rPr>
          <w:rFonts w:ascii="GHEA Grapalat" w:eastAsia="Calibri" w:hAnsi="GHEA Grapalat" w:cs="Sylfaen"/>
          <w:sz w:val="22"/>
          <w:szCs w:val="22"/>
        </w:rPr>
        <w:t>թյունը</w:t>
      </w:r>
      <w:r w:rsidR="00E0512F">
        <w:rPr>
          <w:rFonts w:ascii="GHEA Grapalat" w:eastAsia="Calibri" w:hAnsi="GHEA Grapalat" w:cs="Sylfaen"/>
          <w:sz w:val="22"/>
          <w:szCs w:val="22"/>
        </w:rPr>
        <w:t xml:space="preserve"> 2024</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միջինում կազմել է 5.8%՝</w:t>
      </w:r>
      <w:r w:rsidR="00E0512F">
        <w:rPr>
          <w:rFonts w:ascii="GHEA Grapalat" w:eastAsia="Calibri" w:hAnsi="GHEA Grapalat" w:cs="Sylfaen"/>
          <w:sz w:val="22"/>
          <w:szCs w:val="22"/>
        </w:rPr>
        <w:t xml:space="preserve"> 2023</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արձանագրված 6.3%-ի դիմաց</w:t>
      </w:r>
      <w:r w:rsidR="00E0512F">
        <w:rPr>
          <w:rFonts w:ascii="GHEA Grapalat" w:eastAsia="Calibri" w:hAnsi="GHEA Grapalat" w:cs="Sylfaen"/>
          <w:sz w:val="22"/>
          <w:szCs w:val="22"/>
        </w:rPr>
        <w:t>, 2019թ.</w:t>
      </w:r>
      <w:r w:rsidRPr="00D70CAF">
        <w:rPr>
          <w:rFonts w:ascii="GHEA Grapalat" w:eastAsia="Calibri" w:hAnsi="GHEA Grapalat" w:cs="Sylfaen"/>
          <w:sz w:val="22"/>
          <w:szCs w:val="22"/>
        </w:rPr>
        <w:t xml:space="preserve"> 4.2% եկամտաբերությամբ թողարկված պարտատոմսերի եկամտաբերությունը միջինում կազմել է</w:t>
      </w:r>
      <w:r w:rsidR="00E0512F">
        <w:rPr>
          <w:rFonts w:ascii="GHEA Grapalat" w:eastAsia="Calibri" w:hAnsi="GHEA Grapalat" w:cs="Sylfaen"/>
          <w:sz w:val="22"/>
          <w:szCs w:val="22"/>
        </w:rPr>
        <w:t xml:space="preserve"> 6.9%` 2023</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գրանցված 7.4%-ի դիմաց, իսկ</w:t>
      </w:r>
      <w:r w:rsidR="00E0512F">
        <w:rPr>
          <w:rFonts w:ascii="GHEA Grapalat" w:eastAsia="Calibri" w:hAnsi="GHEA Grapalat" w:cs="Sylfaen"/>
          <w:sz w:val="22"/>
          <w:szCs w:val="22"/>
        </w:rPr>
        <w:t xml:space="preserve"> 2021</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փետրվարին 3.9% եկամտաբերությամբ թողարկված պարտատոմսերի եկամտաբերությունը միջինում կազմել է 7%` նախորդ տարվա 7.6%-ի համեմատությամբ։</w:t>
      </w:r>
    </w:p>
    <w:p w14:paraId="74BC0AD9" w14:textId="5A9581A2" w:rsidR="00871455" w:rsidRPr="00D70CAF" w:rsidRDefault="00871455" w:rsidP="00BC2C75">
      <w:pPr>
        <w:spacing w:line="276" w:lineRule="auto"/>
        <w:ind w:firstLine="567"/>
        <w:jc w:val="both"/>
        <w:rPr>
          <w:rFonts w:ascii="GHEA Grapalat" w:eastAsia="Calibri" w:hAnsi="GHEA Grapalat" w:cs="Sylfaen"/>
          <w:sz w:val="22"/>
          <w:szCs w:val="22"/>
        </w:rPr>
      </w:pPr>
      <w:r w:rsidRPr="00D70CAF">
        <w:rPr>
          <w:rFonts w:ascii="GHEA Grapalat" w:eastAsia="Calibri" w:hAnsi="GHEA Grapalat" w:cs="Sylfaen"/>
          <w:sz w:val="22"/>
          <w:szCs w:val="22"/>
        </w:rPr>
        <w:t>Պետք է նշել, որ 2024թ</w:t>
      </w:r>
      <w:r w:rsidRPr="00D70CAF">
        <w:rPr>
          <w:rFonts w:ascii="Cambria Math" w:eastAsia="Calibri" w:hAnsi="Cambria Math" w:cs="Cambria Math"/>
          <w:sz w:val="22"/>
          <w:szCs w:val="22"/>
        </w:rPr>
        <w:t>․</w:t>
      </w:r>
      <w:r w:rsidRPr="00D70CAF">
        <w:rPr>
          <w:rFonts w:ascii="GHEA Grapalat" w:eastAsia="Calibri" w:hAnsi="GHEA Grapalat" w:cs="Sylfaen"/>
          <w:sz w:val="22"/>
          <w:szCs w:val="22"/>
        </w:rPr>
        <w:t xml:space="preserve"> տոկոսադրույքները զարգացած երկրներում պահպանվել են</w:t>
      </w:r>
      <w:r w:rsidR="00B85C24">
        <w:rPr>
          <w:rFonts w:ascii="GHEA Grapalat" w:eastAsia="Calibri" w:hAnsi="GHEA Grapalat" w:cs="Sylfaen"/>
          <w:sz w:val="22"/>
          <w:szCs w:val="22"/>
        </w:rPr>
        <w:t xml:space="preserve"> </w:t>
      </w:r>
      <w:r w:rsidRPr="00D70CAF">
        <w:rPr>
          <w:rFonts w:ascii="GHEA Grapalat" w:eastAsia="Calibri" w:hAnsi="GHEA Grapalat" w:cs="Sylfaen"/>
          <w:sz w:val="22"/>
          <w:szCs w:val="22"/>
        </w:rPr>
        <w:t>բարձր մակարդակում՝ կենտրոնական բանկերի կողմից շարունակվող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4.2%` 2023թ</w:t>
      </w:r>
      <w:r w:rsidRPr="00D70CAF">
        <w:rPr>
          <w:rFonts w:ascii="Cambria Math" w:eastAsia="Calibri" w:hAnsi="Cambria Math" w:cs="Cambria Math"/>
          <w:sz w:val="22"/>
          <w:szCs w:val="22"/>
        </w:rPr>
        <w:t>․</w:t>
      </w:r>
      <w:r w:rsidRPr="00D70CAF">
        <w:rPr>
          <w:rFonts w:ascii="GHEA Grapalat" w:eastAsia="Calibri" w:hAnsi="GHEA Grapalat" w:cs="Sylfaen"/>
          <w:sz w:val="22"/>
          <w:szCs w:val="22"/>
        </w:rPr>
        <w:t xml:space="preserve"> 4%-ի համեմատությամբ։ Չնայած դրան</w:t>
      </w:r>
      <w:r w:rsidR="005F461F" w:rsidRPr="008040E9">
        <w:rPr>
          <w:rFonts w:ascii="GHEA Grapalat" w:eastAsia="Calibri" w:hAnsi="GHEA Grapalat" w:cs="Sylfaen"/>
          <w:sz w:val="22"/>
          <w:szCs w:val="22"/>
        </w:rPr>
        <w:t>՝</w:t>
      </w:r>
      <w:r w:rsidRPr="00D70CAF">
        <w:rPr>
          <w:rFonts w:ascii="GHEA Grapalat" w:eastAsia="Calibri" w:hAnsi="GHEA Grapalat" w:cs="Sylfaen"/>
          <w:sz w:val="22"/>
          <w:szCs w:val="22"/>
        </w:rPr>
        <w:t xml:space="preserve"> զարգացող երկրների ռիսկի հավելավճարները էականորեն նվազել են, ինչը պայմանավորված է ինչպես զարգացած երկրներում տոկոսադրույքի հետագա նվազման սպասումներով, այնպես էլ առանձին զարգացող երկրներում դրական տնտեսական հեռանկարներով։</w:t>
      </w:r>
    </w:p>
    <w:p w14:paraId="2AE8B236" w14:textId="77777777" w:rsidR="00871455" w:rsidRPr="005F461F" w:rsidRDefault="00871455" w:rsidP="005F461F">
      <w:pPr>
        <w:spacing w:line="276" w:lineRule="auto"/>
        <w:ind w:firstLine="567"/>
        <w:jc w:val="both"/>
        <w:rPr>
          <w:rFonts w:ascii="GHEA Grapalat" w:eastAsia="Calibri" w:hAnsi="GHEA Grapalat" w:cs="Sylfaen"/>
          <w:sz w:val="22"/>
          <w:szCs w:val="22"/>
        </w:rPr>
      </w:pPr>
    </w:p>
    <w:p w14:paraId="3C098BB9" w14:textId="57C968CE" w:rsidR="00871455" w:rsidRPr="00E0512F" w:rsidRDefault="00871455" w:rsidP="005F461F">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E0512F">
        <w:rPr>
          <w:rFonts w:ascii="GHEA Grapalat" w:eastAsia="GHEA Grapalat" w:hAnsi="GHEA Grapalat" w:cs="GHEA Grapalat"/>
          <w:b/>
          <w:sz w:val="18"/>
          <w:szCs w:val="18"/>
        </w:rPr>
        <w:lastRenderedPageBreak/>
        <w:t>Գծապատկեր 34. ՀՀ եվրոբոնդերի եկամտաբերությունները և ռիսկի հավելավճարը 2020-2024թթ</w:t>
      </w:r>
      <w:r w:rsidRPr="00E0512F">
        <w:rPr>
          <w:rFonts w:ascii="Cambria Math" w:eastAsia="GHEA Grapalat" w:hAnsi="Cambria Math" w:cs="Cambria Math"/>
          <w:b/>
          <w:sz w:val="18"/>
          <w:szCs w:val="18"/>
        </w:rPr>
        <w:t>․</w:t>
      </w:r>
      <w:r w:rsidRPr="00E0512F">
        <w:rPr>
          <w:rFonts w:ascii="GHEA Grapalat" w:eastAsia="GHEA Grapalat" w:hAnsi="GHEA Grapalat" w:cs="GHEA Grapalat"/>
          <w:b/>
          <w:sz w:val="18"/>
          <w:szCs w:val="18"/>
        </w:rPr>
        <w:t xml:space="preserve"> </w:t>
      </w:r>
    </w:p>
    <w:p w14:paraId="55420455" w14:textId="418E6108" w:rsidR="00871455" w:rsidRPr="00345A1C" w:rsidRDefault="00871455" w:rsidP="00871455">
      <w:pPr>
        <w:spacing w:line="276" w:lineRule="auto"/>
        <w:jc w:val="both"/>
        <w:rPr>
          <w:rFonts w:ascii="GHEA Grapalat" w:hAnsi="GHEA Grapalat" w:cs="GHEA Grapalat"/>
          <w:sz w:val="22"/>
          <w:szCs w:val="22"/>
        </w:rPr>
      </w:pPr>
      <w:r w:rsidRPr="00BC2C75">
        <w:rPr>
          <w:rFonts w:ascii="GHEA Grapalat" w:hAnsi="GHEA Grapalat"/>
          <w:lang w:val="en-US"/>
        </w:rPr>
        <w:drawing>
          <wp:inline distT="0" distB="0" distL="0" distR="0" wp14:anchorId="2AB8FB43" wp14:editId="5974B0B2">
            <wp:extent cx="3200400" cy="2663825"/>
            <wp:effectExtent l="0" t="0" r="0" b="317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5F461F" w:rsidRPr="008040E9">
        <w:rPr>
          <w:rFonts w:ascii="GHEA Grapalat" w:hAnsi="GHEA Grapalat" w:cs="GHEA Grapalat"/>
          <w:sz w:val="22"/>
          <w:szCs w:val="22"/>
        </w:rPr>
        <w:t xml:space="preserve">  </w:t>
      </w:r>
      <w:r w:rsidRPr="00345A1C">
        <w:rPr>
          <w:rFonts w:ascii="GHEA Grapalat" w:hAnsi="GHEA Grapalat" w:cs="GHEA Grapalat"/>
          <w:sz w:val="22"/>
          <w:szCs w:val="22"/>
          <w:lang w:val="en-US"/>
        </w:rPr>
        <w:drawing>
          <wp:inline distT="0" distB="0" distL="0" distR="0" wp14:anchorId="38E5879A" wp14:editId="588FE4A1">
            <wp:extent cx="3168000" cy="2664000"/>
            <wp:effectExtent l="0" t="0" r="13970" b="31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CA5E24D" w14:textId="6CAEDF58" w:rsidR="00871455" w:rsidRPr="00BC2C75" w:rsidRDefault="00871455" w:rsidP="005F461F">
      <w:pPr>
        <w:spacing w:line="276" w:lineRule="auto"/>
        <w:jc w:val="both"/>
        <w:rPr>
          <w:rFonts w:ascii="GHEA Grapalat" w:hAnsi="GHEA Grapalat" w:cs="GHEA Grapalat"/>
          <w:i/>
          <w:iCs/>
          <w:sz w:val="16"/>
          <w:szCs w:val="16"/>
        </w:rPr>
      </w:pPr>
      <w:r w:rsidRPr="00BC2C75">
        <w:rPr>
          <w:rFonts w:ascii="GHEA Grapalat" w:hAnsi="GHEA Grapalat"/>
          <w:i/>
          <w:iCs/>
          <w:sz w:val="16"/>
          <w:szCs w:val="16"/>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108BD0AE" w14:textId="77777777" w:rsidR="00731FE8" w:rsidRDefault="00731FE8" w:rsidP="00731FE8">
      <w:pPr>
        <w:spacing w:line="276" w:lineRule="auto"/>
        <w:ind w:firstLine="567"/>
        <w:jc w:val="both"/>
        <w:rPr>
          <w:rFonts w:ascii="GHEA Grapalat" w:eastAsia="Calibri" w:hAnsi="GHEA Grapalat" w:cs="Sylfaen"/>
          <w:sz w:val="22"/>
          <w:szCs w:val="22"/>
        </w:rPr>
      </w:pPr>
    </w:p>
    <w:p w14:paraId="32E7A0BB" w14:textId="65A89C94" w:rsidR="00871455" w:rsidRPr="00345A1C" w:rsidRDefault="00871455" w:rsidP="00731FE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ընդհանուր առմամբ զարգացող երկրների ռիսկի հավելավճարի շարունակվող նվազմամբ։</w:t>
      </w:r>
      <w:r w:rsidR="00E0512F">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եվրապարտատոմսերի ռիսկի հավելավճարը</w:t>
      </w:r>
      <w:r w:rsidR="00E0512F">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կազմել է 140 բազիսային կետ՝ նախորդ տարվա 164 տոկոսային կետ ցուցանիշի դիմաց</w:t>
      </w:r>
      <w:r w:rsidR="00E0512F">
        <w:rPr>
          <w:rFonts w:ascii="GHEA Grapalat" w:eastAsia="Calibri" w:hAnsi="GHEA Grapalat" w:cs="Sylfaen"/>
          <w:sz w:val="22"/>
          <w:szCs w:val="22"/>
        </w:rPr>
        <w:t>, 2029</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274 բազիսային կետ՝ նախորդ տարվա 336 բազիսային կետ ցուցանիշի դիմաց, իսկ</w:t>
      </w:r>
      <w:r w:rsidR="00E0512F">
        <w:rPr>
          <w:rFonts w:ascii="GHEA Grapalat" w:eastAsia="Calibri" w:hAnsi="GHEA Grapalat" w:cs="Sylfaen"/>
          <w:sz w:val="22"/>
          <w:szCs w:val="22"/>
        </w:rPr>
        <w:t xml:space="preserve"> 2031</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279 բազիսային կետ՝ նախորդ տարվա 351 բազիսային կետ ցուցանիշի դիմաց։</w:t>
      </w:r>
    </w:p>
    <w:sectPr w:rsidR="00871455" w:rsidRPr="00345A1C" w:rsidSect="00511EB7">
      <w:headerReference w:type="default" r:id="rId53"/>
      <w:footerReference w:type="default" r:id="rId54"/>
      <w:pgSz w:w="11909" w:h="16834" w:code="9"/>
      <w:pgMar w:top="1134" w:right="567" w:bottom="567" w:left="1134" w:header="720" w:footer="567" w:gutter="0"/>
      <w:pgNumType w:start="13"/>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648509E" w16cex:dateUtc="2025-04-07T08:19:00Z"/>
  <w16cex:commentExtensible w16cex:durableId="347EF26A" w16cex:dateUtc="2025-04-07T08:20:00Z"/>
  <w16cex:commentExtensible w16cex:durableId="17FEE5CE" w16cex:dateUtc="2025-04-07T08:24:00Z"/>
  <w16cex:commentExtensible w16cex:durableId="63F79315" w16cex:dateUtc="2025-04-07T08:29:00Z"/>
  <w16cex:commentExtensible w16cex:durableId="3B5E3312" w16cex:dateUtc="2025-04-07T08:30:00Z"/>
  <w16cex:commentExtensible w16cex:durableId="34DD4C28" w16cex:dateUtc="2025-04-07T08:32:00Z"/>
  <w16cex:commentExtensible w16cex:durableId="351503D1" w16cex:dateUtc="2025-04-07T08:34:00Z"/>
  <w16cex:commentExtensible w16cex:durableId="1265D26E" w16cex:dateUtc="2025-04-07T08:35:00Z"/>
  <w16cex:commentExtensible w16cex:durableId="0A02F5C5" w16cex:dateUtc="2025-04-07T08:36:00Z"/>
  <w16cex:commentExtensible w16cex:durableId="28794901" w16cex:dateUtc="2025-04-07T08:38:00Z"/>
  <w16cex:commentExtensible w16cex:durableId="2E8B1929" w16cex:dateUtc="2025-04-07T08:40:00Z"/>
  <w16cex:commentExtensible w16cex:durableId="5FC03EC5" w16cex:dateUtc="2025-04-07T08: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C51602" w16cid:durableId="0FC51602"/>
  <w16cid:commentId w16cid:paraId="4DC331E2" w16cid:durableId="0648509E"/>
  <w16cid:commentId w16cid:paraId="75EC118A" w16cid:durableId="347EF26A"/>
  <w16cid:commentId w16cid:paraId="5C749ACC" w16cid:durableId="17FEE5CE"/>
  <w16cid:commentId w16cid:paraId="722F131F" w16cid:durableId="63F79315"/>
  <w16cid:commentId w16cid:paraId="752D5A04" w16cid:durableId="3B5E3312"/>
  <w16cid:commentId w16cid:paraId="3CBD0556" w16cid:durableId="34DD4C28"/>
  <w16cid:commentId w16cid:paraId="0314CD5A" w16cid:durableId="351503D1"/>
  <w16cid:commentId w16cid:paraId="6CFE03BA" w16cid:durableId="1265D26E"/>
  <w16cid:commentId w16cid:paraId="4107D960" w16cid:durableId="4107D960"/>
  <w16cid:commentId w16cid:paraId="652B1F20" w16cid:durableId="652B1F20"/>
  <w16cid:commentId w16cid:paraId="4255F401" w16cid:durableId="4255F401"/>
  <w16cid:commentId w16cid:paraId="2D18D20C" w16cid:durableId="0A02F5C5"/>
  <w16cid:commentId w16cid:paraId="5D9CB190" w16cid:durableId="28794901"/>
  <w16cid:commentId w16cid:paraId="612D6471" w16cid:durableId="2E8B1929"/>
  <w16cid:commentId w16cid:paraId="7F2C9AB0" w16cid:durableId="5FC03EC5"/>
  <w16cid:commentId w16cid:paraId="2342CB7B" w16cid:durableId="2342CB7B"/>
  <w16cid:commentId w16cid:paraId="5485031A" w16cid:durableId="5485031A"/>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AED7A3" w14:textId="77777777" w:rsidR="000C042C" w:rsidRDefault="000C042C">
      <w:r>
        <w:separator/>
      </w:r>
    </w:p>
  </w:endnote>
  <w:endnote w:type="continuationSeparator" w:id="0">
    <w:p w14:paraId="49E92779" w14:textId="77777777" w:rsidR="000C042C" w:rsidRDefault="000C0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Arial"/>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989357687"/>
      <w:docPartObj>
        <w:docPartGallery w:val="Page Numbers (Bottom of Page)"/>
        <w:docPartUnique/>
      </w:docPartObj>
    </w:sdtPr>
    <w:sdtEndPr>
      <w:rPr>
        <w:rFonts w:ascii="GHEA Grapalat" w:hAnsi="GHEA Grapalat"/>
        <w:noProof/>
        <w:sz w:val="22"/>
        <w:szCs w:val="22"/>
      </w:rPr>
    </w:sdtEndPr>
    <w:sdtContent>
      <w:p w14:paraId="18ECF17F" w14:textId="1491514E" w:rsidR="001E4003" w:rsidRPr="002F7513" w:rsidRDefault="001E4003">
        <w:pPr>
          <w:pStyle w:val="Footer"/>
          <w:jc w:val="right"/>
          <w:rPr>
            <w:rFonts w:ascii="GHEA Grapalat" w:hAnsi="GHEA Grapalat"/>
            <w:sz w:val="22"/>
            <w:szCs w:val="22"/>
          </w:rPr>
        </w:pPr>
        <w:r w:rsidRPr="002F7513">
          <w:rPr>
            <w:rFonts w:ascii="GHEA Grapalat" w:hAnsi="GHEA Grapalat"/>
            <w:noProof w:val="0"/>
            <w:sz w:val="22"/>
            <w:szCs w:val="22"/>
          </w:rPr>
          <w:fldChar w:fldCharType="begin"/>
        </w:r>
        <w:r w:rsidRPr="002F7513">
          <w:rPr>
            <w:rFonts w:ascii="GHEA Grapalat" w:hAnsi="GHEA Grapalat"/>
            <w:sz w:val="22"/>
            <w:szCs w:val="22"/>
          </w:rPr>
          <w:instrText xml:space="preserve"> PAGE   \* MERGEFORMAT </w:instrText>
        </w:r>
        <w:r w:rsidRPr="002F7513">
          <w:rPr>
            <w:rFonts w:ascii="GHEA Grapalat" w:hAnsi="GHEA Grapalat"/>
            <w:noProof w:val="0"/>
            <w:sz w:val="22"/>
            <w:szCs w:val="22"/>
          </w:rPr>
          <w:fldChar w:fldCharType="separate"/>
        </w:r>
        <w:r w:rsidR="008040E9">
          <w:rPr>
            <w:rFonts w:ascii="GHEA Grapalat" w:hAnsi="GHEA Grapalat"/>
            <w:sz w:val="22"/>
            <w:szCs w:val="22"/>
          </w:rPr>
          <w:t>34</w:t>
        </w:r>
        <w:r w:rsidRPr="002F7513">
          <w:rPr>
            <w:rFonts w:ascii="GHEA Grapalat" w:hAnsi="GHEA Grapalat"/>
            <w:sz w:val="22"/>
            <w:szCs w:val="22"/>
          </w:rPr>
          <w:fldChar w:fldCharType="end"/>
        </w:r>
      </w:p>
    </w:sdtContent>
  </w:sdt>
  <w:p w14:paraId="314891A7" w14:textId="77777777" w:rsidR="001E4003" w:rsidRDefault="001E400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AFB8C3" w14:textId="77777777" w:rsidR="000C042C" w:rsidRDefault="000C042C">
      <w:r>
        <w:separator/>
      </w:r>
    </w:p>
  </w:footnote>
  <w:footnote w:type="continuationSeparator" w:id="0">
    <w:p w14:paraId="02A08145" w14:textId="77777777" w:rsidR="000C042C" w:rsidRDefault="000C042C">
      <w:r>
        <w:continuationSeparator/>
      </w:r>
    </w:p>
  </w:footnote>
  <w:footnote w:id="1">
    <w:p w14:paraId="15B2DF06"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Տնտեսական վերլուծությունների բյուրո, </w:t>
      </w:r>
      <w:hyperlink r:id="rId1" w:history="1">
        <w:r w:rsidRPr="00A919E6">
          <w:rPr>
            <w:rStyle w:val="Hyperlink"/>
            <w:rFonts w:ascii="GHEA Grapalat" w:hAnsi="GHEA Grapalat"/>
            <w:sz w:val="18"/>
            <w:szCs w:val="18"/>
          </w:rPr>
          <w:t>https://www.bea.gov/</w:t>
        </w:r>
      </w:hyperlink>
      <w:r w:rsidRPr="00A919E6">
        <w:rPr>
          <w:rFonts w:ascii="GHEA Grapalat" w:hAnsi="GHEA Grapalat"/>
          <w:sz w:val="18"/>
          <w:szCs w:val="18"/>
        </w:rPr>
        <w:t xml:space="preserve"> </w:t>
      </w:r>
    </w:p>
  </w:footnote>
  <w:footnote w:id="2">
    <w:p w14:paraId="0A22A8DF"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w:t>
      </w:r>
      <w:r w:rsidRPr="00A919E6">
        <w:rPr>
          <w:rFonts w:ascii="GHEA Grapalat" w:hAnsi="GHEA Grapalat"/>
          <w:sz w:val="18"/>
          <w:szCs w:val="18"/>
        </w:rPr>
        <w:t xml:space="preserve">Աղբյուրը՝ Եվրոստատ, </w:t>
      </w:r>
      <w:hyperlink r:id="rId2" w:history="1">
        <w:r w:rsidRPr="00A919E6">
          <w:rPr>
            <w:rStyle w:val="Hyperlink"/>
            <w:rFonts w:ascii="GHEA Grapalat" w:hAnsi="GHEA Grapalat"/>
            <w:sz w:val="18"/>
            <w:szCs w:val="18"/>
          </w:rPr>
          <w:t>https://ec.europa.eu/eurostat/</w:t>
        </w:r>
      </w:hyperlink>
      <w:r w:rsidRPr="00A919E6">
        <w:rPr>
          <w:rFonts w:ascii="GHEA Grapalat" w:hAnsi="GHEA Grapalat"/>
          <w:sz w:val="18"/>
          <w:szCs w:val="18"/>
        </w:rPr>
        <w:t xml:space="preserve"> </w:t>
      </w:r>
    </w:p>
  </w:footnote>
  <w:footnote w:id="3">
    <w:p w14:paraId="6EB5359F"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w:t>
      </w:r>
      <w:r w:rsidRPr="00A919E6">
        <w:rPr>
          <w:rFonts w:ascii="GHEA Grapalat" w:hAnsi="GHEA Grapalat"/>
          <w:sz w:val="18"/>
          <w:szCs w:val="18"/>
        </w:rPr>
        <w:t xml:space="preserve">Աղբյուրը՝ Չինաստանի վիճակագրության ազգային բյուրո, </w:t>
      </w:r>
      <w:hyperlink r:id="rId3" w:history="1">
        <w:r w:rsidRPr="00A919E6">
          <w:rPr>
            <w:rStyle w:val="Hyperlink"/>
            <w:rFonts w:ascii="GHEA Grapalat" w:hAnsi="GHEA Grapalat"/>
            <w:sz w:val="18"/>
            <w:szCs w:val="18"/>
          </w:rPr>
          <w:t>http://www.stats.gov.cn/</w:t>
        </w:r>
      </w:hyperlink>
    </w:p>
  </w:footnote>
  <w:footnote w:id="4">
    <w:p w14:paraId="38D700F5"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w:t>
      </w:r>
      <w:r w:rsidRPr="00A919E6">
        <w:rPr>
          <w:rFonts w:ascii="GHEA Grapalat" w:hAnsi="GHEA Grapalat"/>
          <w:sz w:val="18"/>
          <w:szCs w:val="18"/>
        </w:rPr>
        <w:t xml:space="preserve">Աղբյուրը՝ ՌԴ տնտեսական զարգացման նախարարություն, </w:t>
      </w:r>
      <w:hyperlink r:id="rId4" w:history="1">
        <w:r w:rsidRPr="00A919E6">
          <w:rPr>
            <w:rStyle w:val="Hyperlink"/>
            <w:rFonts w:ascii="GHEA Grapalat" w:hAnsi="GHEA Grapalat"/>
            <w:sz w:val="18"/>
            <w:szCs w:val="18"/>
          </w:rPr>
          <w:t>https://economy.gov.ru/</w:t>
        </w:r>
      </w:hyperlink>
    </w:p>
  </w:footnote>
  <w:footnote w:id="5">
    <w:p w14:paraId="2B4C9BEF" w14:textId="75983A61" w:rsidR="00CA6DDB" w:rsidRPr="00335835" w:rsidRDefault="00CA6DDB"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w:t>
      </w:r>
      <w:r w:rsidRPr="00335835">
        <w:rPr>
          <w:rFonts w:ascii="GHEA Grapalat" w:hAnsi="GHEA Grapalat"/>
          <w:sz w:val="18"/>
          <w:szCs w:val="18"/>
        </w:rPr>
        <w:t>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տոկոսադրույքը (</w:t>
      </w:r>
      <w:r w:rsidRPr="00335835">
        <w:rPr>
          <w:rFonts w:ascii="GHEA Grapalat" w:hAnsi="GHEA Grapalat" w:cs="Arial"/>
          <w:color w:val="000000"/>
          <w:sz w:val="18"/>
          <w:szCs w:val="18"/>
          <w:shd w:val="clear" w:color="auto" w:fill="FFFFFF"/>
        </w:rPr>
        <w:t>one-year loan prime rate</w:t>
      </w:r>
      <w:r w:rsidRPr="00335835">
        <w:rPr>
          <w:rFonts w:ascii="GHEA Grapalat" w:hAnsi="GHEA Grapalat"/>
          <w:sz w:val="18"/>
          <w:szCs w:val="18"/>
        </w:rPr>
        <w:t>), ՌԴ՝ հիմնական տոկոսադրույքը:</w:t>
      </w:r>
    </w:p>
  </w:footnote>
  <w:footnote w:id="6">
    <w:p w14:paraId="3506ED00" w14:textId="77777777" w:rsidR="00CA6DDB" w:rsidRPr="00335835" w:rsidRDefault="00CA6DDB"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w:t>
      </w:r>
      <w:r w:rsidRPr="00335835">
        <w:rPr>
          <w:rFonts w:ascii="GHEA Grapalat" w:hAnsi="GHEA Grapalat"/>
          <w:sz w:val="18"/>
          <w:szCs w:val="18"/>
        </w:rPr>
        <w:t xml:space="preserve">Աղբյուրը՝ Համաշխարհային բանկ, </w:t>
      </w:r>
      <w:hyperlink r:id="rId5" w:history="1">
        <w:r w:rsidRPr="00335835">
          <w:rPr>
            <w:rStyle w:val="Hyperlink"/>
            <w:rFonts w:ascii="GHEA Grapalat" w:hAnsi="GHEA Grapalat"/>
            <w:sz w:val="18"/>
            <w:szCs w:val="18"/>
          </w:rPr>
          <w:t>https://www.worldbank.org/en/research/commodity-markets</w:t>
        </w:r>
      </w:hyperlink>
      <w:r w:rsidRPr="00335835">
        <w:rPr>
          <w:rFonts w:ascii="GHEA Grapalat" w:hAnsi="GHEA Grapalat"/>
          <w:sz w:val="18"/>
          <w:szCs w:val="18"/>
        </w:rPr>
        <w:t xml:space="preserve"> </w:t>
      </w:r>
    </w:p>
  </w:footnote>
  <w:footnote w:id="7">
    <w:p w14:paraId="65BEF649" w14:textId="77777777" w:rsidR="00CA6DDB" w:rsidRPr="00335835" w:rsidRDefault="00CA6DDB" w:rsidP="00335835">
      <w:pPr>
        <w:pStyle w:val="FootnoteText"/>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w:t>
      </w:r>
      <w:r w:rsidRPr="00335835">
        <w:rPr>
          <w:rFonts w:ascii="GHEA Grapalat" w:hAnsi="GHEA Grapalat"/>
          <w:sz w:val="18"/>
          <w:szCs w:val="18"/>
        </w:rPr>
        <w:t xml:space="preserve">Աղբյուրը՝ ՄԱԿ-ի պարենի և գյուղատնտեսության կազմակերպություն </w:t>
      </w:r>
      <w:hyperlink r:id="rId6" w:history="1">
        <w:r w:rsidRPr="00335835">
          <w:rPr>
            <w:rStyle w:val="Hyperlink"/>
            <w:rFonts w:ascii="GHEA Grapalat" w:hAnsi="GHEA Grapalat"/>
            <w:sz w:val="18"/>
            <w:szCs w:val="18"/>
          </w:rPr>
          <w:t>https://www.fao.org/worldfoodsituation/foodpricesindex/en/</w:t>
        </w:r>
      </w:hyperlink>
      <w:r w:rsidRPr="00335835">
        <w:rPr>
          <w:rFonts w:ascii="GHEA Grapalat" w:hAnsi="GHEA Grapalat"/>
          <w:sz w:val="18"/>
          <w:szCs w:val="18"/>
        </w:rPr>
        <w:t xml:space="preserve"> </w:t>
      </w:r>
    </w:p>
  </w:footnote>
  <w:footnote w:id="8">
    <w:p w14:paraId="69FB2DD3" w14:textId="649B2383" w:rsidR="00CA6DDB" w:rsidRPr="008040E9" w:rsidRDefault="00CA6DDB" w:rsidP="006760D9">
      <w:pPr>
        <w:pStyle w:val="FootnoteText"/>
        <w:jc w:val="both"/>
        <w:rPr>
          <w:rFonts w:ascii="GHEA Grapalat" w:hAnsi="GHEA Grapalat"/>
          <w:sz w:val="18"/>
          <w:szCs w:val="18"/>
        </w:rPr>
      </w:pPr>
      <w:r w:rsidRPr="009727C2">
        <w:rPr>
          <w:rStyle w:val="FootnoteReference"/>
          <w:rFonts w:ascii="GHEA Grapalat" w:hAnsi="GHEA Grapalat"/>
          <w:sz w:val="18"/>
          <w:szCs w:val="18"/>
        </w:rPr>
        <w:footnoteRef/>
      </w:r>
      <w:r w:rsidRPr="009727C2">
        <w:rPr>
          <w:rFonts w:ascii="GHEA Grapalat" w:hAnsi="GHEA Grapalat"/>
          <w:sz w:val="18"/>
          <w:szCs w:val="18"/>
        </w:rPr>
        <w:t xml:space="preserve"> </w:t>
      </w:r>
      <w:r w:rsidRPr="009727C2">
        <w:rPr>
          <w:rFonts w:ascii="GHEA Grapalat" w:hAnsi="GHEA Grapalat"/>
          <w:sz w:val="18"/>
          <w:szCs w:val="18"/>
        </w:rPr>
        <w:t xml:space="preserve">Աղբյուրը՝ Համաշխարհային բանկ, </w:t>
      </w:r>
      <w:hyperlink r:id="rId7" w:history="1">
        <w:r w:rsidRPr="009727C2">
          <w:rPr>
            <w:rStyle w:val="Hyperlink"/>
            <w:rFonts w:ascii="GHEA Grapalat" w:hAnsi="GHEA Grapalat"/>
            <w:sz w:val="18"/>
            <w:szCs w:val="18"/>
          </w:rPr>
          <w:t>https://www.worldbank.org/en/research/commodity-markets</w:t>
        </w:r>
      </w:hyperlink>
      <w:r w:rsidRPr="009727C2">
        <w:rPr>
          <w:rFonts w:ascii="GHEA Grapalat" w:hAnsi="GHEA Grapalat"/>
          <w:sz w:val="18"/>
          <w:szCs w:val="18"/>
        </w:rPr>
        <w:t xml:space="preserve"> </w:t>
      </w:r>
      <w:r w:rsidR="006760D9" w:rsidRPr="008040E9">
        <w:rPr>
          <w:rFonts w:ascii="GHEA Grapalat" w:hAnsi="GHEA Grapalat"/>
          <w:sz w:val="18"/>
          <w:szCs w:val="18"/>
        </w:rPr>
        <w:t>,</w:t>
      </w:r>
    </w:p>
    <w:p w14:paraId="6419F9A7" w14:textId="6EEDB3CF" w:rsidR="00CA6DDB" w:rsidRPr="008040E9" w:rsidRDefault="00CA6DDB" w:rsidP="006760D9">
      <w:pPr>
        <w:pStyle w:val="FootnoteText"/>
        <w:jc w:val="both"/>
        <w:rPr>
          <w:rFonts w:ascii="GHEA Grapalat" w:hAnsi="GHEA Grapalat"/>
          <w:sz w:val="18"/>
          <w:szCs w:val="18"/>
        </w:rPr>
      </w:pPr>
      <w:r w:rsidRPr="009727C2">
        <w:rPr>
          <w:rFonts w:ascii="GHEA Grapalat" w:hAnsi="GHEA Grapalat"/>
          <w:sz w:val="18"/>
          <w:szCs w:val="18"/>
        </w:rPr>
        <w:t xml:space="preserve">ՄԱԿ – ի պարենի և գյուղատնտեսության կազմակերպություն </w:t>
      </w:r>
      <w:hyperlink r:id="rId8" w:history="1">
        <w:r w:rsidRPr="009727C2">
          <w:rPr>
            <w:rStyle w:val="Hyperlink"/>
            <w:rFonts w:ascii="GHEA Grapalat" w:hAnsi="GHEA Grapalat"/>
            <w:sz w:val="18"/>
            <w:szCs w:val="18"/>
          </w:rPr>
          <w:t>https://www.fao.org/worldfoodsituation/foodpricesindex/en/</w:t>
        </w:r>
      </w:hyperlink>
      <w:r w:rsidR="006760D9" w:rsidRPr="008040E9">
        <w:rPr>
          <w:rStyle w:val="Hyperlink"/>
          <w:rFonts w:ascii="GHEA Grapalat" w:hAnsi="GHEA Grapalat"/>
          <w:color w:val="auto"/>
          <w:sz w:val="18"/>
          <w:szCs w:val="18"/>
          <w:u w:val="none"/>
        </w:rPr>
        <w:t xml:space="preserve"> :</w:t>
      </w:r>
    </w:p>
  </w:footnote>
  <w:footnote w:id="9">
    <w:p w14:paraId="7725CFDB" w14:textId="110824F0" w:rsidR="00CA6DDB" w:rsidRPr="008040E9" w:rsidRDefault="00CA6DDB" w:rsidP="005C7A5B">
      <w:pPr>
        <w:pStyle w:val="FootnoteText"/>
        <w:jc w:val="both"/>
        <w:rPr>
          <w:rFonts w:ascii="GHEA Grapalat" w:hAnsi="GHEA Grapalat"/>
          <w:sz w:val="18"/>
          <w:szCs w:val="18"/>
          <w:highlight w:val="yellow"/>
        </w:rPr>
      </w:pPr>
      <w:r w:rsidRPr="00CE4DDD">
        <w:rPr>
          <w:rStyle w:val="FootnoteReference"/>
          <w:rFonts w:ascii="GHEA Grapalat" w:hAnsi="GHEA Grapalat"/>
          <w:sz w:val="18"/>
          <w:szCs w:val="18"/>
        </w:rPr>
        <w:footnoteRef/>
      </w:r>
      <w:r w:rsidRPr="00CE4DDD">
        <w:rPr>
          <w:rFonts w:ascii="GHEA Grapalat" w:hAnsi="GHEA Grapalat"/>
          <w:sz w:val="18"/>
          <w:szCs w:val="18"/>
        </w:rPr>
        <w:t xml:space="preserve"> Ճյուղերի մանրամասն ցուցանիշները ներկայացված են </w:t>
      </w:r>
      <w:r w:rsidR="005C7A5B" w:rsidRPr="008040E9">
        <w:rPr>
          <w:rFonts w:ascii="GHEA Grapalat" w:hAnsi="GHEA Grapalat"/>
          <w:sz w:val="18"/>
          <w:szCs w:val="18"/>
        </w:rPr>
        <w:t xml:space="preserve">հետևյալ տեղեկանքում՝ </w:t>
      </w:r>
      <w:hyperlink r:id="rId9" w:history="1">
        <w:r w:rsidR="005C7A5B" w:rsidRPr="008040E9">
          <w:rPr>
            <w:rStyle w:val="Hyperlink"/>
            <w:rFonts w:ascii="GHEA Grapalat" w:hAnsi="GHEA Grapalat"/>
            <w:sz w:val="18"/>
            <w:szCs w:val="18"/>
          </w:rPr>
          <w:t>1.10.Տեղեկանքներ\13.Թողարկման ծավալ, արտահանում, ներմուծում.docx</w:t>
        </w:r>
      </w:hyperlink>
      <w:r w:rsidR="005C7A5B" w:rsidRPr="008040E9">
        <w:rPr>
          <w:rFonts w:ascii="GHEA Grapalat" w:hAnsi="GHEA Grapalat"/>
          <w:sz w:val="18"/>
          <w:szCs w:val="18"/>
        </w:rPr>
        <w:t xml:space="preserve"> </w:t>
      </w:r>
      <w:r w:rsidRPr="006760D9">
        <w:rPr>
          <w:rFonts w:ascii="GHEA Grapalat" w:hAnsi="GHEA Grapalat"/>
          <w:sz w:val="18"/>
          <w:szCs w:val="18"/>
        </w:rPr>
        <w:t>:</w:t>
      </w:r>
    </w:p>
  </w:footnote>
  <w:footnote w:id="10">
    <w:p w14:paraId="00A40BF5" w14:textId="77777777" w:rsidR="00CA6DDB" w:rsidRPr="005C7A5B" w:rsidRDefault="00CA6DDB" w:rsidP="00575C6C">
      <w:pPr>
        <w:pStyle w:val="FootnoteText"/>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w:t>
      </w:r>
    </w:p>
  </w:footnote>
  <w:footnote w:id="11">
    <w:p w14:paraId="306B722C" w14:textId="77777777" w:rsidR="00CA6DDB" w:rsidRPr="005C7A5B" w:rsidRDefault="00CA6DDB" w:rsidP="00575C6C">
      <w:pPr>
        <w:jc w:val="both"/>
        <w:rPr>
          <w:rFonts w:ascii="GHEA Grapalat" w:eastAsia="GHEA Grapalat" w:hAnsi="GHEA Grapalat"/>
          <w:color w:val="000000"/>
          <w:sz w:val="18"/>
          <w:szCs w:val="18"/>
        </w:rPr>
      </w:pPr>
      <w:r w:rsidRPr="005C7A5B">
        <w:rPr>
          <w:rFonts w:ascii="GHEA Grapalat" w:eastAsia="GHEA Grapalat" w:hAnsi="GHEA Grapalat"/>
          <w:color w:val="000000"/>
          <w:sz w:val="18"/>
          <w:szCs w:val="18"/>
          <w:vertAlign w:val="superscript"/>
        </w:rPr>
        <w:footnoteRef/>
      </w:r>
      <w:r w:rsidRPr="005C7A5B">
        <w:rPr>
          <w:rFonts w:ascii="GHEA Grapalat" w:eastAsia="GHEA Grapalat" w:hAnsi="GHEA Grapalat"/>
          <w:color w:val="000000"/>
          <w:sz w:val="18"/>
          <w:szCs w:val="18"/>
        </w:rPr>
        <w:t xml:space="preserve"> </w:t>
      </w:r>
      <w:r w:rsidRPr="005C7A5B">
        <w:rPr>
          <w:rFonts w:ascii="GHEA Grapalat" w:eastAsia="GHEA Grapalat" w:hAnsi="GHEA Grapalat"/>
          <w:color w:val="000000"/>
          <w:sz w:val="18"/>
          <w:szCs w:val="18"/>
        </w:rPr>
        <w:t>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2">
    <w:p w14:paraId="350BEEB1" w14:textId="77777777" w:rsidR="00CA6DDB" w:rsidRPr="005C7A5B" w:rsidRDefault="00CA6DDB" w:rsidP="000C67FA">
      <w:pPr>
        <w:pBdr>
          <w:top w:val="nil"/>
          <w:left w:val="nil"/>
          <w:bottom w:val="nil"/>
          <w:right w:val="nil"/>
          <w:between w:val="nil"/>
        </w:pBdr>
        <w:spacing w:line="276" w:lineRule="auto"/>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eastAsia="GHEA Grapalat" w:hAnsi="GHEA Grapalat" w:cs="GHEA Grapalat"/>
          <w:color w:val="000000"/>
          <w:sz w:val="18"/>
          <w:szCs w:val="18"/>
        </w:rPr>
        <w:t xml:space="preserve"> </w:t>
      </w:r>
      <w:r w:rsidRPr="005C7A5B">
        <w:rPr>
          <w:rFonts w:ascii="GHEA Grapalat" w:hAnsi="GHEA Grapalat"/>
          <w:sz w:val="18"/>
          <w:szCs w:val="18"/>
        </w:rPr>
        <w:t xml:space="preserve">Ներմուծման տվյալները ներկայացված են ՍԻՖ գներով: </w:t>
      </w:r>
    </w:p>
  </w:footnote>
  <w:footnote w:id="13">
    <w:p w14:paraId="25D0D145" w14:textId="1871963A" w:rsidR="00CA6DDB" w:rsidRPr="00A446BC" w:rsidRDefault="00CA6DDB" w:rsidP="00927AC7">
      <w:pPr>
        <w:pStyle w:val="FootnoteText"/>
        <w:jc w:val="both"/>
        <w:rPr>
          <w:rFonts w:ascii="GHEA Grapalat" w:hAnsi="GHEA Grapalat"/>
          <w:iCs/>
          <w:sz w:val="18"/>
          <w:szCs w:val="18"/>
        </w:rPr>
      </w:pPr>
      <w:r w:rsidRPr="00A446BC">
        <w:rPr>
          <w:rStyle w:val="FootnoteReference"/>
          <w:rFonts w:ascii="GHEA Grapalat" w:hAnsi="GHEA Grapalat"/>
          <w:sz w:val="18"/>
          <w:szCs w:val="18"/>
        </w:rPr>
        <w:footnoteRef/>
      </w:r>
      <w:r w:rsidRPr="00A446BC">
        <w:rPr>
          <w:rFonts w:ascii="GHEA Grapalat" w:eastAsia="GHEA Grapalat" w:hAnsi="GHEA Grapalat" w:cs="GHEA Grapalat"/>
          <w:iCs/>
          <w:color w:val="000000"/>
          <w:sz w:val="18"/>
          <w:szCs w:val="18"/>
        </w:rPr>
        <w:t>Մանրամասն ցուցանիշները ներկայացված են</w:t>
      </w:r>
      <w:r w:rsidR="00A446BC" w:rsidRPr="008040E9">
        <w:rPr>
          <w:rFonts w:ascii="GHEA Grapalat" w:eastAsia="GHEA Grapalat" w:hAnsi="GHEA Grapalat" w:cs="GHEA Grapalat"/>
          <w:iCs/>
          <w:color w:val="000000"/>
          <w:sz w:val="18"/>
          <w:szCs w:val="18"/>
        </w:rPr>
        <w:t xml:space="preserve"> հետևյալ</w:t>
      </w:r>
      <w:r w:rsidRPr="00A446BC">
        <w:rPr>
          <w:rFonts w:ascii="GHEA Grapalat" w:eastAsia="GHEA Grapalat" w:hAnsi="GHEA Grapalat" w:cs="GHEA Grapalat"/>
          <w:iCs/>
          <w:color w:val="000000"/>
          <w:sz w:val="18"/>
          <w:szCs w:val="18"/>
        </w:rPr>
        <w:t xml:space="preserve"> </w:t>
      </w:r>
      <w:r w:rsidR="00A446BC" w:rsidRPr="008040E9">
        <w:rPr>
          <w:rFonts w:ascii="GHEA Grapalat" w:eastAsia="GHEA Grapalat" w:hAnsi="GHEA Grapalat" w:cs="GHEA Grapalat"/>
          <w:iCs/>
          <w:color w:val="000000"/>
          <w:sz w:val="18"/>
          <w:szCs w:val="18"/>
        </w:rPr>
        <w:t>տեղեկանք</w:t>
      </w:r>
      <w:r w:rsidRPr="00A446BC">
        <w:rPr>
          <w:rFonts w:ascii="GHEA Grapalat" w:hAnsi="GHEA Grapalat"/>
          <w:sz w:val="18"/>
          <w:szCs w:val="18"/>
        </w:rPr>
        <w:t>ում</w:t>
      </w:r>
      <w:r w:rsidR="00A446BC" w:rsidRPr="008040E9">
        <w:rPr>
          <w:rFonts w:ascii="GHEA Grapalat" w:hAnsi="GHEA Grapalat"/>
          <w:sz w:val="18"/>
          <w:szCs w:val="18"/>
        </w:rPr>
        <w:t xml:space="preserve">՝ </w:t>
      </w:r>
      <w:hyperlink r:id="rId10" w:history="1">
        <w:r w:rsidR="00A446BC" w:rsidRPr="008040E9">
          <w:rPr>
            <w:rStyle w:val="Hyperlink"/>
            <w:rFonts w:ascii="GHEA Grapalat" w:hAnsi="GHEA Grapalat"/>
            <w:sz w:val="18"/>
            <w:szCs w:val="18"/>
          </w:rPr>
          <w:t>1.10.Տեղեկանքներ\13.Թողարկման ծավալ, արտահանում, ներմուծում.docx</w:t>
        </w:r>
      </w:hyperlink>
      <w:r w:rsidR="00A446BC" w:rsidRPr="008040E9">
        <w:rPr>
          <w:rFonts w:ascii="GHEA Grapalat" w:hAnsi="GHEA Grapalat"/>
          <w:sz w:val="18"/>
          <w:szCs w:val="18"/>
        </w:rPr>
        <w:t xml:space="preserve"> </w:t>
      </w:r>
      <w:r w:rsidRPr="00A446BC">
        <w:rPr>
          <w:rFonts w:ascii="GHEA Grapalat" w:eastAsia="GHEA Grapalat" w:hAnsi="GHEA Grapalat" w:cs="GHEA Grapalat"/>
          <w:iCs/>
          <w:color w:val="000000"/>
          <w:sz w:val="18"/>
          <w:szCs w:val="18"/>
        </w:rPr>
        <w:t>:</w:t>
      </w:r>
    </w:p>
  </w:footnote>
  <w:footnote w:id="14">
    <w:p w14:paraId="11937DE4" w14:textId="77777777" w:rsidR="00CA6DDB" w:rsidRPr="00731FE8" w:rsidRDefault="00CA6DDB" w:rsidP="00540C2B">
      <w:pPr>
        <w:pStyle w:val="FootnoteText"/>
        <w:jc w:val="both"/>
        <w:rPr>
          <w:rFonts w:ascii="GHEA Grapalat" w:hAnsi="GHEA Grapalat"/>
          <w:sz w:val="18"/>
          <w:szCs w:val="18"/>
        </w:rPr>
      </w:pPr>
      <w:r w:rsidRPr="00731FE8">
        <w:rPr>
          <w:rStyle w:val="FootnoteReference"/>
          <w:rFonts w:ascii="GHEA Grapalat" w:hAnsi="GHEA Grapalat"/>
          <w:sz w:val="18"/>
          <w:szCs w:val="18"/>
        </w:rPr>
        <w:footnoteRef/>
      </w:r>
      <w:r w:rsidRPr="00731FE8">
        <w:rPr>
          <w:rFonts w:ascii="GHEA Grapalat" w:hAnsi="GHEA Grapalat"/>
          <w:sz w:val="18"/>
          <w:szCs w:val="18"/>
        </w:rPr>
        <w:t xml:space="preserve"> </w:t>
      </w:r>
      <w:r w:rsidRPr="00731FE8">
        <w:rPr>
          <w:rFonts w:ascii="GHEA Grapalat" w:hAnsi="GHEA Grapalat" w:cs="Sylfaen"/>
          <w:sz w:val="18"/>
          <w:szCs w:val="18"/>
        </w:rPr>
        <w:t>Աղբյուր՝ ՀՀ ԿԲ:</w:t>
      </w:r>
    </w:p>
  </w:footnote>
  <w:footnote w:id="15">
    <w:p w14:paraId="23829542" w14:textId="77777777" w:rsidR="00CA6DDB" w:rsidRPr="002C0630" w:rsidRDefault="00CA6DDB" w:rsidP="00540C2B">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w:t>
      </w:r>
      <w:r w:rsidRPr="002C0630">
        <w:rPr>
          <w:rFonts w:ascii="GHEA Grapalat" w:eastAsia="GHEA Grapalat" w:hAnsi="GHEA Grapalat" w:cs="GHEA Grapalat"/>
          <w:color w:val="000000"/>
          <w:sz w:val="18"/>
          <w:szCs w:val="18"/>
        </w:rPr>
        <w:t>Ընդգրկված չեն կուտակված տոկոսները: Վարկերի մեջ ներառված են նաև ֆակտորինգային, լիզինգային գործառնությունները և ռեպո համաձայնագրերը:</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621F2" w14:textId="572BB4C5" w:rsidR="00CA6DDB" w:rsidRDefault="00CA6DDB" w:rsidP="00B41540">
    <w:pPr>
      <w:pStyle w:val="Header"/>
      <w:jc w:val="right"/>
      <w:rPr>
        <w:lang w:val="en-US"/>
      </w:rPr>
    </w:pPr>
  </w:p>
  <w:p w14:paraId="1C90E69B" w14:textId="5AD22708" w:rsidR="00CA6DDB" w:rsidRDefault="00CA6DDB">
    <w:pPr>
      <w:pStyle w:val="Header"/>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7149BA"/>
    <w:multiLevelType w:val="multilevel"/>
    <w:tmpl w:val="F5069F58"/>
    <w:lvl w:ilvl="0">
      <w:start w:val="1"/>
      <w:numFmt w:val="decimal"/>
      <w:lvlText w:val="%1.2."/>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3"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AC2483E"/>
    <w:multiLevelType w:val="multilevel"/>
    <w:tmpl w:val="205826AC"/>
    <w:lvl w:ilvl="0">
      <w:start w:val="1"/>
      <w:numFmt w:val="decimal"/>
      <w:pStyle w:val="Heading1"/>
      <w:lvlText w:val="%1"/>
      <w:lvlJc w:val="left"/>
      <w:pPr>
        <w:ind w:left="432" w:hanging="432"/>
      </w:pPr>
    </w:lvl>
    <w:lvl w:ilvl="1">
      <w:start w:val="1"/>
      <w:numFmt w:val="decimal"/>
      <w:lvlText w:val="%2.2.1."/>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6" w15:restartNumberingAfterBreak="0">
    <w:nsid w:val="56C45AB1"/>
    <w:multiLevelType w:val="multilevel"/>
    <w:tmpl w:val="9AC60BDE"/>
    <w:lvl w:ilvl="0">
      <w:start w:val="1"/>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1"/>
      <w:numFmt w:val="decimal"/>
      <w:pStyle w:val="Heading3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9"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3"/>
  </w:num>
  <w:num w:numId="3">
    <w:abstractNumId w:val="8"/>
  </w:num>
  <w:num w:numId="4">
    <w:abstractNumId w:val="5"/>
  </w:num>
  <w:num w:numId="5">
    <w:abstractNumId w:val="7"/>
  </w:num>
  <w:num w:numId="6">
    <w:abstractNumId w:val="9"/>
  </w:num>
  <w:num w:numId="7">
    <w:abstractNumId w:val="2"/>
  </w:num>
  <w:num w:numId="8">
    <w:abstractNumId w:val="1"/>
  </w:num>
  <w:num w:numId="9">
    <w:abstractNumId w:val="4"/>
  </w:num>
  <w:num w:numId="10">
    <w:abstractNumId w:val="6"/>
  </w:num>
  <w:num w:numId="11">
    <w:abstractNumId w:val="4"/>
  </w:num>
  <w:num w:numId="12">
    <w:abstractNumId w:val="4"/>
  </w:num>
  <w:num w:numId="13">
    <w:abstractNumId w:val="4"/>
  </w:num>
  <w:num w:numId="14">
    <w:abstractNumId w:val="4"/>
  </w:num>
  <w:num w:numId="15">
    <w:abstractNumId w:val="4"/>
  </w:num>
  <w:num w:numId="16">
    <w:abstractNumId w:val="6"/>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D3B"/>
    <w:rsid w:val="00000F60"/>
    <w:rsid w:val="000013F4"/>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29"/>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0AF"/>
    <w:rsid w:val="0001219F"/>
    <w:rsid w:val="00012255"/>
    <w:rsid w:val="000129E4"/>
    <w:rsid w:val="00012B31"/>
    <w:rsid w:val="00012D91"/>
    <w:rsid w:val="000130AE"/>
    <w:rsid w:val="000130B5"/>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4B38"/>
    <w:rsid w:val="00015089"/>
    <w:rsid w:val="000152BB"/>
    <w:rsid w:val="000159B6"/>
    <w:rsid w:val="00015A31"/>
    <w:rsid w:val="00015AB1"/>
    <w:rsid w:val="00015ADA"/>
    <w:rsid w:val="00015BCC"/>
    <w:rsid w:val="00015ED0"/>
    <w:rsid w:val="00016109"/>
    <w:rsid w:val="0001616A"/>
    <w:rsid w:val="0001616F"/>
    <w:rsid w:val="0001642F"/>
    <w:rsid w:val="000164F5"/>
    <w:rsid w:val="0001673A"/>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61"/>
    <w:rsid w:val="00027B33"/>
    <w:rsid w:val="0003005B"/>
    <w:rsid w:val="0003014C"/>
    <w:rsid w:val="000305EF"/>
    <w:rsid w:val="000307F1"/>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7E0"/>
    <w:rsid w:val="0003398D"/>
    <w:rsid w:val="00033B82"/>
    <w:rsid w:val="00033C09"/>
    <w:rsid w:val="00033E77"/>
    <w:rsid w:val="00033E86"/>
    <w:rsid w:val="000340F2"/>
    <w:rsid w:val="00034493"/>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09F"/>
    <w:rsid w:val="00037178"/>
    <w:rsid w:val="000374A5"/>
    <w:rsid w:val="000375BF"/>
    <w:rsid w:val="00037658"/>
    <w:rsid w:val="00037896"/>
    <w:rsid w:val="00037A81"/>
    <w:rsid w:val="00037B6E"/>
    <w:rsid w:val="00037BB9"/>
    <w:rsid w:val="00037BF7"/>
    <w:rsid w:val="00037E80"/>
    <w:rsid w:val="00037F24"/>
    <w:rsid w:val="0004004B"/>
    <w:rsid w:val="000400D6"/>
    <w:rsid w:val="00040159"/>
    <w:rsid w:val="000402A0"/>
    <w:rsid w:val="000407BB"/>
    <w:rsid w:val="0004083B"/>
    <w:rsid w:val="00040A59"/>
    <w:rsid w:val="00040B1C"/>
    <w:rsid w:val="00040BD0"/>
    <w:rsid w:val="00040CA2"/>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7060"/>
    <w:rsid w:val="0004726C"/>
    <w:rsid w:val="000473B5"/>
    <w:rsid w:val="000474EF"/>
    <w:rsid w:val="0004776B"/>
    <w:rsid w:val="000477C5"/>
    <w:rsid w:val="00047926"/>
    <w:rsid w:val="00047FBF"/>
    <w:rsid w:val="0005002A"/>
    <w:rsid w:val="000500ED"/>
    <w:rsid w:val="000501AA"/>
    <w:rsid w:val="00050518"/>
    <w:rsid w:val="00050538"/>
    <w:rsid w:val="00050581"/>
    <w:rsid w:val="00050B4E"/>
    <w:rsid w:val="00050C20"/>
    <w:rsid w:val="00050D45"/>
    <w:rsid w:val="00050EA5"/>
    <w:rsid w:val="00050F26"/>
    <w:rsid w:val="00050F65"/>
    <w:rsid w:val="0005107D"/>
    <w:rsid w:val="00051429"/>
    <w:rsid w:val="000514A6"/>
    <w:rsid w:val="0005176D"/>
    <w:rsid w:val="00051A47"/>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2F2E"/>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703"/>
    <w:rsid w:val="000557C3"/>
    <w:rsid w:val="00055A38"/>
    <w:rsid w:val="00055BA5"/>
    <w:rsid w:val="000560DC"/>
    <w:rsid w:val="00056123"/>
    <w:rsid w:val="00056332"/>
    <w:rsid w:val="000563FD"/>
    <w:rsid w:val="00056679"/>
    <w:rsid w:val="0005674E"/>
    <w:rsid w:val="000567C9"/>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011"/>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75"/>
    <w:rsid w:val="00071AF3"/>
    <w:rsid w:val="00071C16"/>
    <w:rsid w:val="00071C80"/>
    <w:rsid w:val="00071CCA"/>
    <w:rsid w:val="00071E2F"/>
    <w:rsid w:val="000720AF"/>
    <w:rsid w:val="0007228D"/>
    <w:rsid w:val="000723C6"/>
    <w:rsid w:val="00072615"/>
    <w:rsid w:val="0007273F"/>
    <w:rsid w:val="0007288D"/>
    <w:rsid w:val="00072ADD"/>
    <w:rsid w:val="00072B11"/>
    <w:rsid w:val="00072CD1"/>
    <w:rsid w:val="00073034"/>
    <w:rsid w:val="0007304C"/>
    <w:rsid w:val="00073103"/>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E0C"/>
    <w:rsid w:val="00075FEB"/>
    <w:rsid w:val="000760B1"/>
    <w:rsid w:val="000761DC"/>
    <w:rsid w:val="00076317"/>
    <w:rsid w:val="0007649F"/>
    <w:rsid w:val="000764F4"/>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4D"/>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781"/>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38"/>
    <w:rsid w:val="0009028E"/>
    <w:rsid w:val="000902C4"/>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B84"/>
    <w:rsid w:val="00091BB0"/>
    <w:rsid w:val="00091DF2"/>
    <w:rsid w:val="00092213"/>
    <w:rsid w:val="00092371"/>
    <w:rsid w:val="000923D0"/>
    <w:rsid w:val="00092436"/>
    <w:rsid w:val="0009244C"/>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135"/>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88F"/>
    <w:rsid w:val="000A1974"/>
    <w:rsid w:val="000A1978"/>
    <w:rsid w:val="000A1CD6"/>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0AE"/>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5F6E"/>
    <w:rsid w:val="000A602A"/>
    <w:rsid w:val="000A60A8"/>
    <w:rsid w:val="000A638B"/>
    <w:rsid w:val="000A658C"/>
    <w:rsid w:val="000A6764"/>
    <w:rsid w:val="000A6809"/>
    <w:rsid w:val="000A6A2A"/>
    <w:rsid w:val="000A6B75"/>
    <w:rsid w:val="000A6BCC"/>
    <w:rsid w:val="000A6CC5"/>
    <w:rsid w:val="000A6E57"/>
    <w:rsid w:val="000A7099"/>
    <w:rsid w:val="000A7209"/>
    <w:rsid w:val="000A756C"/>
    <w:rsid w:val="000A757E"/>
    <w:rsid w:val="000A786C"/>
    <w:rsid w:val="000A795C"/>
    <w:rsid w:val="000A7BDC"/>
    <w:rsid w:val="000A7CA8"/>
    <w:rsid w:val="000A7D2C"/>
    <w:rsid w:val="000B0060"/>
    <w:rsid w:val="000B041A"/>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484"/>
    <w:rsid w:val="000B54DE"/>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F29"/>
    <w:rsid w:val="000C0002"/>
    <w:rsid w:val="000C0089"/>
    <w:rsid w:val="000C00A7"/>
    <w:rsid w:val="000C042C"/>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B1B"/>
    <w:rsid w:val="000C5BA3"/>
    <w:rsid w:val="000C5E62"/>
    <w:rsid w:val="000C63A6"/>
    <w:rsid w:val="000C6408"/>
    <w:rsid w:val="000C648B"/>
    <w:rsid w:val="000C6491"/>
    <w:rsid w:val="000C64E4"/>
    <w:rsid w:val="000C664E"/>
    <w:rsid w:val="000C66C4"/>
    <w:rsid w:val="000C67FA"/>
    <w:rsid w:val="000C6A7E"/>
    <w:rsid w:val="000C6AEA"/>
    <w:rsid w:val="000C6AEF"/>
    <w:rsid w:val="000C6C0B"/>
    <w:rsid w:val="000C6C1C"/>
    <w:rsid w:val="000C6C32"/>
    <w:rsid w:val="000C6D10"/>
    <w:rsid w:val="000C6E4F"/>
    <w:rsid w:val="000C6F10"/>
    <w:rsid w:val="000C6F33"/>
    <w:rsid w:val="000C7277"/>
    <w:rsid w:val="000C728B"/>
    <w:rsid w:val="000C7292"/>
    <w:rsid w:val="000C75AE"/>
    <w:rsid w:val="000C762B"/>
    <w:rsid w:val="000C7635"/>
    <w:rsid w:val="000C7777"/>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2D"/>
    <w:rsid w:val="000D2B32"/>
    <w:rsid w:val="000D2BEC"/>
    <w:rsid w:val="000D2D1A"/>
    <w:rsid w:val="000D2D82"/>
    <w:rsid w:val="000D3283"/>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7C"/>
    <w:rsid w:val="000D56CC"/>
    <w:rsid w:val="000D589D"/>
    <w:rsid w:val="000D5931"/>
    <w:rsid w:val="000D59AF"/>
    <w:rsid w:val="000D5B17"/>
    <w:rsid w:val="000D5BD1"/>
    <w:rsid w:val="000D5DB3"/>
    <w:rsid w:val="000D5F96"/>
    <w:rsid w:val="000D6256"/>
    <w:rsid w:val="000D6521"/>
    <w:rsid w:val="000D664F"/>
    <w:rsid w:val="000D6930"/>
    <w:rsid w:val="000D695B"/>
    <w:rsid w:val="000D6D5F"/>
    <w:rsid w:val="000D6D7B"/>
    <w:rsid w:val="000D6E37"/>
    <w:rsid w:val="000D6F73"/>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0C"/>
    <w:rsid w:val="000E1187"/>
    <w:rsid w:val="000E11B4"/>
    <w:rsid w:val="000E1360"/>
    <w:rsid w:val="000E13C1"/>
    <w:rsid w:val="000E1436"/>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13"/>
    <w:rsid w:val="000E4BAB"/>
    <w:rsid w:val="000E4BAC"/>
    <w:rsid w:val="000E4BFE"/>
    <w:rsid w:val="000E4E3F"/>
    <w:rsid w:val="000E4F1B"/>
    <w:rsid w:val="000E4FC6"/>
    <w:rsid w:val="000E5094"/>
    <w:rsid w:val="000E5230"/>
    <w:rsid w:val="000E53BE"/>
    <w:rsid w:val="000E548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1E0"/>
    <w:rsid w:val="000E7540"/>
    <w:rsid w:val="000E77EA"/>
    <w:rsid w:val="000E785B"/>
    <w:rsid w:val="000E7895"/>
    <w:rsid w:val="000E7945"/>
    <w:rsid w:val="000E7B11"/>
    <w:rsid w:val="000E7B80"/>
    <w:rsid w:val="000E7C2C"/>
    <w:rsid w:val="000E7E32"/>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AA5"/>
    <w:rsid w:val="000F3B0C"/>
    <w:rsid w:val="000F3B95"/>
    <w:rsid w:val="000F3DDD"/>
    <w:rsid w:val="000F3E33"/>
    <w:rsid w:val="000F403A"/>
    <w:rsid w:val="000F4054"/>
    <w:rsid w:val="000F4072"/>
    <w:rsid w:val="000F428F"/>
    <w:rsid w:val="000F430C"/>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BA3"/>
    <w:rsid w:val="000F6CAC"/>
    <w:rsid w:val="000F6FA3"/>
    <w:rsid w:val="000F6FA6"/>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87B"/>
    <w:rsid w:val="001058F6"/>
    <w:rsid w:val="00105A8B"/>
    <w:rsid w:val="00105B39"/>
    <w:rsid w:val="00105D7F"/>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100E9"/>
    <w:rsid w:val="0011025C"/>
    <w:rsid w:val="00110467"/>
    <w:rsid w:val="00110735"/>
    <w:rsid w:val="0011086C"/>
    <w:rsid w:val="00110B55"/>
    <w:rsid w:val="00110D1E"/>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27F"/>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FB3"/>
    <w:rsid w:val="001221A7"/>
    <w:rsid w:val="00122592"/>
    <w:rsid w:val="001227B5"/>
    <w:rsid w:val="001229D6"/>
    <w:rsid w:val="00122C0D"/>
    <w:rsid w:val="00122C2C"/>
    <w:rsid w:val="00122D05"/>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D9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15F"/>
    <w:rsid w:val="0013122D"/>
    <w:rsid w:val="001312B1"/>
    <w:rsid w:val="001313D0"/>
    <w:rsid w:val="001314BD"/>
    <w:rsid w:val="001317E3"/>
    <w:rsid w:val="001317E7"/>
    <w:rsid w:val="00132241"/>
    <w:rsid w:val="001322B6"/>
    <w:rsid w:val="00132591"/>
    <w:rsid w:val="001327FB"/>
    <w:rsid w:val="0013296D"/>
    <w:rsid w:val="001329AD"/>
    <w:rsid w:val="00132DF3"/>
    <w:rsid w:val="0013312D"/>
    <w:rsid w:val="001331A2"/>
    <w:rsid w:val="00133299"/>
    <w:rsid w:val="00133775"/>
    <w:rsid w:val="001337BD"/>
    <w:rsid w:val="00133806"/>
    <w:rsid w:val="001338E9"/>
    <w:rsid w:val="00133B6D"/>
    <w:rsid w:val="00133E1F"/>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62"/>
    <w:rsid w:val="00136BAE"/>
    <w:rsid w:val="00136BC9"/>
    <w:rsid w:val="00136D92"/>
    <w:rsid w:val="00136FAA"/>
    <w:rsid w:val="00137128"/>
    <w:rsid w:val="0013733A"/>
    <w:rsid w:val="00137386"/>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1FFD"/>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8BB"/>
    <w:rsid w:val="0015595C"/>
    <w:rsid w:val="00155A8F"/>
    <w:rsid w:val="00155DBB"/>
    <w:rsid w:val="001562CD"/>
    <w:rsid w:val="0015631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0DE"/>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6FA"/>
    <w:rsid w:val="0016477F"/>
    <w:rsid w:val="001647C3"/>
    <w:rsid w:val="00164842"/>
    <w:rsid w:val="001648C6"/>
    <w:rsid w:val="001648CA"/>
    <w:rsid w:val="00164B6C"/>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219"/>
    <w:rsid w:val="0016625C"/>
    <w:rsid w:val="001663E4"/>
    <w:rsid w:val="00166512"/>
    <w:rsid w:val="00166891"/>
    <w:rsid w:val="00166BE2"/>
    <w:rsid w:val="00166C7B"/>
    <w:rsid w:val="00166E96"/>
    <w:rsid w:val="0016705D"/>
    <w:rsid w:val="0016719D"/>
    <w:rsid w:val="0016738C"/>
    <w:rsid w:val="001676F9"/>
    <w:rsid w:val="0016775C"/>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E97"/>
    <w:rsid w:val="00174FF0"/>
    <w:rsid w:val="00175215"/>
    <w:rsid w:val="001753F8"/>
    <w:rsid w:val="0017540E"/>
    <w:rsid w:val="001754BE"/>
    <w:rsid w:val="00175634"/>
    <w:rsid w:val="00175919"/>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5E"/>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E1D"/>
    <w:rsid w:val="00184EC2"/>
    <w:rsid w:val="00184FC2"/>
    <w:rsid w:val="00185071"/>
    <w:rsid w:val="001855F3"/>
    <w:rsid w:val="00185959"/>
    <w:rsid w:val="00185BE0"/>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585"/>
    <w:rsid w:val="001958D4"/>
    <w:rsid w:val="001959A1"/>
    <w:rsid w:val="00195C71"/>
    <w:rsid w:val="00195DDF"/>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58"/>
    <w:rsid w:val="001A0CDC"/>
    <w:rsid w:val="001A0E84"/>
    <w:rsid w:val="001A110D"/>
    <w:rsid w:val="001A115E"/>
    <w:rsid w:val="001A1205"/>
    <w:rsid w:val="001A1313"/>
    <w:rsid w:val="001A144A"/>
    <w:rsid w:val="001A149F"/>
    <w:rsid w:val="001A16ED"/>
    <w:rsid w:val="001A17A1"/>
    <w:rsid w:val="001A17B4"/>
    <w:rsid w:val="001A191F"/>
    <w:rsid w:val="001A19C4"/>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5EF2"/>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9E"/>
    <w:rsid w:val="001B34AB"/>
    <w:rsid w:val="001B34B0"/>
    <w:rsid w:val="001B34DF"/>
    <w:rsid w:val="001B353C"/>
    <w:rsid w:val="001B3555"/>
    <w:rsid w:val="001B3562"/>
    <w:rsid w:val="001B3591"/>
    <w:rsid w:val="001B3754"/>
    <w:rsid w:val="001B376C"/>
    <w:rsid w:val="001B3775"/>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4AD"/>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B1"/>
    <w:rsid w:val="001C3F49"/>
    <w:rsid w:val="001C3F8C"/>
    <w:rsid w:val="001C3FD2"/>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8"/>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935"/>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003"/>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028"/>
    <w:rsid w:val="001F541E"/>
    <w:rsid w:val="001F58A2"/>
    <w:rsid w:val="001F58F7"/>
    <w:rsid w:val="001F5953"/>
    <w:rsid w:val="001F5A24"/>
    <w:rsid w:val="001F5AC3"/>
    <w:rsid w:val="001F5B66"/>
    <w:rsid w:val="001F5C54"/>
    <w:rsid w:val="001F5FBC"/>
    <w:rsid w:val="001F5FE2"/>
    <w:rsid w:val="001F6176"/>
    <w:rsid w:val="001F62A0"/>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1F7D66"/>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AD0"/>
    <w:rsid w:val="00214C2F"/>
    <w:rsid w:val="00214EC6"/>
    <w:rsid w:val="002150C2"/>
    <w:rsid w:val="00215499"/>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E84"/>
    <w:rsid w:val="00217E96"/>
    <w:rsid w:val="002201FC"/>
    <w:rsid w:val="00220995"/>
    <w:rsid w:val="00220A6B"/>
    <w:rsid w:val="00220B36"/>
    <w:rsid w:val="00220D60"/>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996"/>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ED"/>
    <w:rsid w:val="00224085"/>
    <w:rsid w:val="002240CD"/>
    <w:rsid w:val="00224143"/>
    <w:rsid w:val="00224195"/>
    <w:rsid w:val="00224389"/>
    <w:rsid w:val="002244C1"/>
    <w:rsid w:val="002247F9"/>
    <w:rsid w:val="00224861"/>
    <w:rsid w:val="00224983"/>
    <w:rsid w:val="002249C6"/>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E65"/>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58A"/>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50184"/>
    <w:rsid w:val="002502CA"/>
    <w:rsid w:val="00250487"/>
    <w:rsid w:val="00250735"/>
    <w:rsid w:val="00250820"/>
    <w:rsid w:val="002508DA"/>
    <w:rsid w:val="00250934"/>
    <w:rsid w:val="00250EA3"/>
    <w:rsid w:val="00250F7B"/>
    <w:rsid w:val="00251080"/>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7C2"/>
    <w:rsid w:val="00254A75"/>
    <w:rsid w:val="00254B14"/>
    <w:rsid w:val="0025536A"/>
    <w:rsid w:val="00255427"/>
    <w:rsid w:val="00255694"/>
    <w:rsid w:val="00255970"/>
    <w:rsid w:val="002559FD"/>
    <w:rsid w:val="00255A24"/>
    <w:rsid w:val="00255C52"/>
    <w:rsid w:val="00255CE8"/>
    <w:rsid w:val="00255DD3"/>
    <w:rsid w:val="002560A7"/>
    <w:rsid w:val="00256168"/>
    <w:rsid w:val="0025645D"/>
    <w:rsid w:val="002567E8"/>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AD"/>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799"/>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558"/>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EF"/>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C9"/>
    <w:rsid w:val="00276D3C"/>
    <w:rsid w:val="00276D6F"/>
    <w:rsid w:val="00276DA8"/>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692"/>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490"/>
    <w:rsid w:val="00285A01"/>
    <w:rsid w:val="00285ABF"/>
    <w:rsid w:val="00285BAE"/>
    <w:rsid w:val="00285BC3"/>
    <w:rsid w:val="00285D15"/>
    <w:rsid w:val="00285F4E"/>
    <w:rsid w:val="00285F67"/>
    <w:rsid w:val="0028617C"/>
    <w:rsid w:val="002863D8"/>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22"/>
    <w:rsid w:val="00295CEC"/>
    <w:rsid w:val="00295D44"/>
    <w:rsid w:val="00295D72"/>
    <w:rsid w:val="00295D7C"/>
    <w:rsid w:val="00295DFA"/>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69"/>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C03"/>
    <w:rsid w:val="002A6D9A"/>
    <w:rsid w:val="002A6EC2"/>
    <w:rsid w:val="002A6F45"/>
    <w:rsid w:val="002A6F85"/>
    <w:rsid w:val="002A70D0"/>
    <w:rsid w:val="002A739A"/>
    <w:rsid w:val="002A763F"/>
    <w:rsid w:val="002A77BE"/>
    <w:rsid w:val="002A78AD"/>
    <w:rsid w:val="002A78AF"/>
    <w:rsid w:val="002A7B3F"/>
    <w:rsid w:val="002A7BC6"/>
    <w:rsid w:val="002A7C6E"/>
    <w:rsid w:val="002A7D16"/>
    <w:rsid w:val="002A7D49"/>
    <w:rsid w:val="002A7FF8"/>
    <w:rsid w:val="002B0443"/>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3EE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39"/>
    <w:rsid w:val="002C0D7B"/>
    <w:rsid w:val="002C10D5"/>
    <w:rsid w:val="002C1168"/>
    <w:rsid w:val="002C1276"/>
    <w:rsid w:val="002C1280"/>
    <w:rsid w:val="002C150D"/>
    <w:rsid w:val="002C19ED"/>
    <w:rsid w:val="002C1BEA"/>
    <w:rsid w:val="002C1C5F"/>
    <w:rsid w:val="002C1DCA"/>
    <w:rsid w:val="002C1E49"/>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3E3D"/>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56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592"/>
    <w:rsid w:val="002D06A7"/>
    <w:rsid w:val="002D06F9"/>
    <w:rsid w:val="002D076D"/>
    <w:rsid w:val="002D096D"/>
    <w:rsid w:val="002D0AC6"/>
    <w:rsid w:val="002D0C2A"/>
    <w:rsid w:val="002D0C6B"/>
    <w:rsid w:val="002D0D22"/>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0F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440"/>
    <w:rsid w:val="002D74A5"/>
    <w:rsid w:val="002D7576"/>
    <w:rsid w:val="002D75B1"/>
    <w:rsid w:val="002D77F7"/>
    <w:rsid w:val="002D7A9F"/>
    <w:rsid w:val="002D7E0E"/>
    <w:rsid w:val="002D7E54"/>
    <w:rsid w:val="002D7EDB"/>
    <w:rsid w:val="002D7F48"/>
    <w:rsid w:val="002E0005"/>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79"/>
    <w:rsid w:val="002E32C2"/>
    <w:rsid w:val="002E3411"/>
    <w:rsid w:val="002E37D2"/>
    <w:rsid w:val="002E3A30"/>
    <w:rsid w:val="002E3AA8"/>
    <w:rsid w:val="002E3D73"/>
    <w:rsid w:val="002E3E45"/>
    <w:rsid w:val="002E3F15"/>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723"/>
    <w:rsid w:val="002F68BB"/>
    <w:rsid w:val="002F6A72"/>
    <w:rsid w:val="002F6AC8"/>
    <w:rsid w:val="002F6C3B"/>
    <w:rsid w:val="002F6C5C"/>
    <w:rsid w:val="002F6C9B"/>
    <w:rsid w:val="002F7095"/>
    <w:rsid w:val="002F7174"/>
    <w:rsid w:val="002F71F5"/>
    <w:rsid w:val="002F74DA"/>
    <w:rsid w:val="002F7513"/>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C39"/>
    <w:rsid w:val="00313F0B"/>
    <w:rsid w:val="0031404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00B"/>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E9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835"/>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36D"/>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3B5"/>
    <w:rsid w:val="00345553"/>
    <w:rsid w:val="00345A1C"/>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A17"/>
    <w:rsid w:val="00347E60"/>
    <w:rsid w:val="003502E5"/>
    <w:rsid w:val="00350394"/>
    <w:rsid w:val="003503D2"/>
    <w:rsid w:val="00350424"/>
    <w:rsid w:val="0035043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6F8"/>
    <w:rsid w:val="0035178B"/>
    <w:rsid w:val="003519DA"/>
    <w:rsid w:val="00351E14"/>
    <w:rsid w:val="00351F12"/>
    <w:rsid w:val="00351F9D"/>
    <w:rsid w:val="00351FB7"/>
    <w:rsid w:val="0035207B"/>
    <w:rsid w:val="0035225C"/>
    <w:rsid w:val="003523AC"/>
    <w:rsid w:val="0035280B"/>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D6"/>
    <w:rsid w:val="003555FF"/>
    <w:rsid w:val="0035594A"/>
    <w:rsid w:val="00355C64"/>
    <w:rsid w:val="00355DBD"/>
    <w:rsid w:val="00355E9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C96"/>
    <w:rsid w:val="00360D8D"/>
    <w:rsid w:val="00360E91"/>
    <w:rsid w:val="00360F74"/>
    <w:rsid w:val="00361230"/>
    <w:rsid w:val="003612CD"/>
    <w:rsid w:val="00361433"/>
    <w:rsid w:val="003614EA"/>
    <w:rsid w:val="0036163B"/>
    <w:rsid w:val="003616F4"/>
    <w:rsid w:val="00361787"/>
    <w:rsid w:val="0036181A"/>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099"/>
    <w:rsid w:val="0038636E"/>
    <w:rsid w:val="003864FF"/>
    <w:rsid w:val="003865A9"/>
    <w:rsid w:val="00386826"/>
    <w:rsid w:val="00386882"/>
    <w:rsid w:val="003868D5"/>
    <w:rsid w:val="00386908"/>
    <w:rsid w:val="00386B88"/>
    <w:rsid w:val="00386BA5"/>
    <w:rsid w:val="00386CA8"/>
    <w:rsid w:val="00386DB1"/>
    <w:rsid w:val="00386EA3"/>
    <w:rsid w:val="00386EA4"/>
    <w:rsid w:val="00387260"/>
    <w:rsid w:val="00387613"/>
    <w:rsid w:val="00387A37"/>
    <w:rsid w:val="00387DAC"/>
    <w:rsid w:val="00387F0B"/>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B22"/>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673"/>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5B2"/>
    <w:rsid w:val="003A65C3"/>
    <w:rsid w:val="003A6792"/>
    <w:rsid w:val="003A679E"/>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B6E"/>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1C"/>
    <w:rsid w:val="003C6696"/>
    <w:rsid w:val="003C6709"/>
    <w:rsid w:val="003C672D"/>
    <w:rsid w:val="003C68C7"/>
    <w:rsid w:val="003C68DC"/>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ACD"/>
    <w:rsid w:val="003D0D72"/>
    <w:rsid w:val="003D0F88"/>
    <w:rsid w:val="003D107C"/>
    <w:rsid w:val="003D10D5"/>
    <w:rsid w:val="003D1515"/>
    <w:rsid w:val="003D1AC5"/>
    <w:rsid w:val="003D1D55"/>
    <w:rsid w:val="003D1D7A"/>
    <w:rsid w:val="003D1DEA"/>
    <w:rsid w:val="003D24AA"/>
    <w:rsid w:val="003D2759"/>
    <w:rsid w:val="003D27A4"/>
    <w:rsid w:val="003D29AD"/>
    <w:rsid w:val="003D2C9C"/>
    <w:rsid w:val="003D2DC9"/>
    <w:rsid w:val="003D325C"/>
    <w:rsid w:val="003D327A"/>
    <w:rsid w:val="003D33C7"/>
    <w:rsid w:val="003D354D"/>
    <w:rsid w:val="003D368B"/>
    <w:rsid w:val="003D384F"/>
    <w:rsid w:val="003D38BB"/>
    <w:rsid w:val="003D3A7D"/>
    <w:rsid w:val="003D3E21"/>
    <w:rsid w:val="003D4190"/>
    <w:rsid w:val="003D44E5"/>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9CD"/>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70"/>
    <w:rsid w:val="003E04B3"/>
    <w:rsid w:val="003E06CB"/>
    <w:rsid w:val="003E0A5B"/>
    <w:rsid w:val="003E0A5D"/>
    <w:rsid w:val="003E0C44"/>
    <w:rsid w:val="003E0D12"/>
    <w:rsid w:val="003E0D81"/>
    <w:rsid w:val="003E0DCE"/>
    <w:rsid w:val="003E0F2A"/>
    <w:rsid w:val="003E1145"/>
    <w:rsid w:val="003E11AF"/>
    <w:rsid w:val="003E145C"/>
    <w:rsid w:val="003E14DD"/>
    <w:rsid w:val="003E14E3"/>
    <w:rsid w:val="003E15B2"/>
    <w:rsid w:val="003E16E5"/>
    <w:rsid w:val="003E1768"/>
    <w:rsid w:val="003E18D7"/>
    <w:rsid w:val="003E1A8C"/>
    <w:rsid w:val="003E1C0E"/>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8F9"/>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83B"/>
    <w:rsid w:val="003E68B9"/>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E39"/>
    <w:rsid w:val="00406FCF"/>
    <w:rsid w:val="004070C5"/>
    <w:rsid w:val="0040720D"/>
    <w:rsid w:val="004074FF"/>
    <w:rsid w:val="00407596"/>
    <w:rsid w:val="004075DC"/>
    <w:rsid w:val="004079DD"/>
    <w:rsid w:val="004079EE"/>
    <w:rsid w:val="00407CBD"/>
    <w:rsid w:val="00407DDB"/>
    <w:rsid w:val="00410017"/>
    <w:rsid w:val="00410224"/>
    <w:rsid w:val="00410365"/>
    <w:rsid w:val="00410513"/>
    <w:rsid w:val="00410588"/>
    <w:rsid w:val="004107CB"/>
    <w:rsid w:val="00410A6E"/>
    <w:rsid w:val="00410E28"/>
    <w:rsid w:val="00410E8D"/>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03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B62"/>
    <w:rsid w:val="00422BF4"/>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28"/>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EB"/>
    <w:rsid w:val="00430BB4"/>
    <w:rsid w:val="00430C49"/>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8ED"/>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0FCB"/>
    <w:rsid w:val="00441141"/>
    <w:rsid w:val="00441277"/>
    <w:rsid w:val="004412B4"/>
    <w:rsid w:val="004412D7"/>
    <w:rsid w:val="00441373"/>
    <w:rsid w:val="004414A9"/>
    <w:rsid w:val="004418E9"/>
    <w:rsid w:val="00441A0D"/>
    <w:rsid w:val="00441A2F"/>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2E"/>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CF5"/>
    <w:rsid w:val="00452E6D"/>
    <w:rsid w:val="00453109"/>
    <w:rsid w:val="004532D7"/>
    <w:rsid w:val="0045364D"/>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CFB"/>
    <w:rsid w:val="00456E33"/>
    <w:rsid w:val="0045712A"/>
    <w:rsid w:val="004574F7"/>
    <w:rsid w:val="00457580"/>
    <w:rsid w:val="004575E6"/>
    <w:rsid w:val="00457857"/>
    <w:rsid w:val="00457A26"/>
    <w:rsid w:val="00457BF2"/>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3E5A"/>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F10"/>
    <w:rsid w:val="00472F13"/>
    <w:rsid w:val="00472F7B"/>
    <w:rsid w:val="00472FCB"/>
    <w:rsid w:val="004732E0"/>
    <w:rsid w:val="00473364"/>
    <w:rsid w:val="004734CD"/>
    <w:rsid w:val="004734FD"/>
    <w:rsid w:val="00473813"/>
    <w:rsid w:val="0047395A"/>
    <w:rsid w:val="00473B30"/>
    <w:rsid w:val="00473BA2"/>
    <w:rsid w:val="00473BBD"/>
    <w:rsid w:val="00473C74"/>
    <w:rsid w:val="00473C87"/>
    <w:rsid w:val="00473CF1"/>
    <w:rsid w:val="00473EC1"/>
    <w:rsid w:val="00473FCE"/>
    <w:rsid w:val="00474304"/>
    <w:rsid w:val="00474574"/>
    <w:rsid w:val="004748E9"/>
    <w:rsid w:val="00474B9F"/>
    <w:rsid w:val="00474C58"/>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858"/>
    <w:rsid w:val="0047698A"/>
    <w:rsid w:val="00476A9E"/>
    <w:rsid w:val="00476ADB"/>
    <w:rsid w:val="00476BB9"/>
    <w:rsid w:val="00476D4D"/>
    <w:rsid w:val="00476F3F"/>
    <w:rsid w:val="00476FBA"/>
    <w:rsid w:val="0047715D"/>
    <w:rsid w:val="004771B0"/>
    <w:rsid w:val="004772BA"/>
    <w:rsid w:val="00477327"/>
    <w:rsid w:val="0047741C"/>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2"/>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69"/>
    <w:rsid w:val="00492D0D"/>
    <w:rsid w:val="00492DD1"/>
    <w:rsid w:val="00492EAB"/>
    <w:rsid w:val="00492F98"/>
    <w:rsid w:val="004930C7"/>
    <w:rsid w:val="0049311E"/>
    <w:rsid w:val="00493133"/>
    <w:rsid w:val="00493187"/>
    <w:rsid w:val="0049369F"/>
    <w:rsid w:val="00493ABC"/>
    <w:rsid w:val="00493ACE"/>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85C"/>
    <w:rsid w:val="004A0927"/>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DB7"/>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59"/>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BD"/>
    <w:rsid w:val="004D1353"/>
    <w:rsid w:val="004D13EE"/>
    <w:rsid w:val="004D15B9"/>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76"/>
    <w:rsid w:val="004D3A33"/>
    <w:rsid w:val="004D3A66"/>
    <w:rsid w:val="004D3C52"/>
    <w:rsid w:val="004D3EA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EB"/>
    <w:rsid w:val="004E2B86"/>
    <w:rsid w:val="004E2C78"/>
    <w:rsid w:val="004E2C9E"/>
    <w:rsid w:val="004E2CC2"/>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8FB"/>
    <w:rsid w:val="004F0C1D"/>
    <w:rsid w:val="004F0EB9"/>
    <w:rsid w:val="004F124E"/>
    <w:rsid w:val="004F1532"/>
    <w:rsid w:val="004F16A4"/>
    <w:rsid w:val="004F1878"/>
    <w:rsid w:val="004F19EC"/>
    <w:rsid w:val="004F1BE6"/>
    <w:rsid w:val="004F1CF4"/>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310"/>
    <w:rsid w:val="004F4476"/>
    <w:rsid w:val="004F4617"/>
    <w:rsid w:val="004F463C"/>
    <w:rsid w:val="004F46B2"/>
    <w:rsid w:val="004F47D6"/>
    <w:rsid w:val="004F4C39"/>
    <w:rsid w:val="004F4DB8"/>
    <w:rsid w:val="004F4E4D"/>
    <w:rsid w:val="004F4F6C"/>
    <w:rsid w:val="004F4FB2"/>
    <w:rsid w:val="004F5070"/>
    <w:rsid w:val="004F5126"/>
    <w:rsid w:val="004F5136"/>
    <w:rsid w:val="004F51DD"/>
    <w:rsid w:val="004F5229"/>
    <w:rsid w:val="004F537F"/>
    <w:rsid w:val="004F547D"/>
    <w:rsid w:val="004F552B"/>
    <w:rsid w:val="004F55F9"/>
    <w:rsid w:val="004F5712"/>
    <w:rsid w:val="004F5787"/>
    <w:rsid w:val="004F5B42"/>
    <w:rsid w:val="004F5B74"/>
    <w:rsid w:val="004F5D23"/>
    <w:rsid w:val="004F5D5A"/>
    <w:rsid w:val="004F5D88"/>
    <w:rsid w:val="004F5F89"/>
    <w:rsid w:val="004F6056"/>
    <w:rsid w:val="004F607E"/>
    <w:rsid w:val="004F60F3"/>
    <w:rsid w:val="004F6248"/>
    <w:rsid w:val="004F62B5"/>
    <w:rsid w:val="004F6307"/>
    <w:rsid w:val="004F6328"/>
    <w:rsid w:val="004F6505"/>
    <w:rsid w:val="004F69C7"/>
    <w:rsid w:val="004F6A2D"/>
    <w:rsid w:val="004F6C5B"/>
    <w:rsid w:val="004F6D01"/>
    <w:rsid w:val="004F6D26"/>
    <w:rsid w:val="004F6ED1"/>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0F"/>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EB7"/>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63B"/>
    <w:rsid w:val="00517830"/>
    <w:rsid w:val="00517AE4"/>
    <w:rsid w:val="00517B99"/>
    <w:rsid w:val="00517BA9"/>
    <w:rsid w:val="00517CE1"/>
    <w:rsid w:val="00517DA8"/>
    <w:rsid w:val="00520178"/>
    <w:rsid w:val="0052020A"/>
    <w:rsid w:val="00520224"/>
    <w:rsid w:val="0052027D"/>
    <w:rsid w:val="00520336"/>
    <w:rsid w:val="00520396"/>
    <w:rsid w:val="005203DC"/>
    <w:rsid w:val="005206D7"/>
    <w:rsid w:val="005206F7"/>
    <w:rsid w:val="00520C8C"/>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C20"/>
    <w:rsid w:val="00522F80"/>
    <w:rsid w:val="0052319D"/>
    <w:rsid w:val="005233EB"/>
    <w:rsid w:val="0052381F"/>
    <w:rsid w:val="00523A26"/>
    <w:rsid w:val="00523CCA"/>
    <w:rsid w:val="00524355"/>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401"/>
    <w:rsid w:val="005255BC"/>
    <w:rsid w:val="00525602"/>
    <w:rsid w:val="005258D2"/>
    <w:rsid w:val="00525ACF"/>
    <w:rsid w:val="00525B23"/>
    <w:rsid w:val="00525CFE"/>
    <w:rsid w:val="00525D0F"/>
    <w:rsid w:val="005264AE"/>
    <w:rsid w:val="00526870"/>
    <w:rsid w:val="00526A20"/>
    <w:rsid w:val="00526A35"/>
    <w:rsid w:val="00526A46"/>
    <w:rsid w:val="00526A9F"/>
    <w:rsid w:val="00526C1C"/>
    <w:rsid w:val="00526C39"/>
    <w:rsid w:val="00526C91"/>
    <w:rsid w:val="00526CDB"/>
    <w:rsid w:val="00526E83"/>
    <w:rsid w:val="0052726A"/>
    <w:rsid w:val="005273B7"/>
    <w:rsid w:val="00527454"/>
    <w:rsid w:val="00527537"/>
    <w:rsid w:val="005275AB"/>
    <w:rsid w:val="0052771F"/>
    <w:rsid w:val="005277F8"/>
    <w:rsid w:val="00527895"/>
    <w:rsid w:val="00527990"/>
    <w:rsid w:val="00527AC0"/>
    <w:rsid w:val="00527B48"/>
    <w:rsid w:val="00527BD3"/>
    <w:rsid w:val="00527C04"/>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3CC"/>
    <w:rsid w:val="005335AB"/>
    <w:rsid w:val="00533A48"/>
    <w:rsid w:val="00533A54"/>
    <w:rsid w:val="00533C81"/>
    <w:rsid w:val="00533E20"/>
    <w:rsid w:val="00533F0A"/>
    <w:rsid w:val="00533F97"/>
    <w:rsid w:val="00534012"/>
    <w:rsid w:val="0053411A"/>
    <w:rsid w:val="0053417A"/>
    <w:rsid w:val="005341CD"/>
    <w:rsid w:val="0053436C"/>
    <w:rsid w:val="005343AD"/>
    <w:rsid w:val="005347FC"/>
    <w:rsid w:val="00534A86"/>
    <w:rsid w:val="00534ADF"/>
    <w:rsid w:val="00534BF3"/>
    <w:rsid w:val="00534E6F"/>
    <w:rsid w:val="0053518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477"/>
    <w:rsid w:val="0054057B"/>
    <w:rsid w:val="0054057D"/>
    <w:rsid w:val="005406DF"/>
    <w:rsid w:val="0054073E"/>
    <w:rsid w:val="00540886"/>
    <w:rsid w:val="00540C2B"/>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13"/>
    <w:rsid w:val="00553F88"/>
    <w:rsid w:val="0055410A"/>
    <w:rsid w:val="00554207"/>
    <w:rsid w:val="00554488"/>
    <w:rsid w:val="00554559"/>
    <w:rsid w:val="0055458C"/>
    <w:rsid w:val="00554601"/>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B4"/>
    <w:rsid w:val="005628D8"/>
    <w:rsid w:val="00562C33"/>
    <w:rsid w:val="00562F8B"/>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17B"/>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23"/>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4F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6C"/>
    <w:rsid w:val="00575CED"/>
    <w:rsid w:val="00575E9F"/>
    <w:rsid w:val="005760BB"/>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0D2C"/>
    <w:rsid w:val="00580ED8"/>
    <w:rsid w:val="005811DB"/>
    <w:rsid w:val="00581590"/>
    <w:rsid w:val="00581717"/>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139"/>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7B5"/>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BAC"/>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37"/>
    <w:rsid w:val="00594867"/>
    <w:rsid w:val="005948F3"/>
    <w:rsid w:val="00594911"/>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3C58"/>
    <w:rsid w:val="005A4395"/>
    <w:rsid w:val="005A485C"/>
    <w:rsid w:val="005A4A64"/>
    <w:rsid w:val="005A4A68"/>
    <w:rsid w:val="005A5108"/>
    <w:rsid w:val="005A5110"/>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0C0F"/>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30"/>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6DE"/>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35"/>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FF1"/>
    <w:rsid w:val="005C50CB"/>
    <w:rsid w:val="005C547C"/>
    <w:rsid w:val="005C5614"/>
    <w:rsid w:val="005C5738"/>
    <w:rsid w:val="005C583F"/>
    <w:rsid w:val="005C5914"/>
    <w:rsid w:val="005C5DC6"/>
    <w:rsid w:val="005C5E99"/>
    <w:rsid w:val="005C5EFD"/>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FA"/>
    <w:rsid w:val="005C73B8"/>
    <w:rsid w:val="005C769A"/>
    <w:rsid w:val="005C76FE"/>
    <w:rsid w:val="005C7724"/>
    <w:rsid w:val="005C7747"/>
    <w:rsid w:val="005C78F6"/>
    <w:rsid w:val="005C7A5B"/>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412"/>
    <w:rsid w:val="005D248D"/>
    <w:rsid w:val="005D25C9"/>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4230"/>
    <w:rsid w:val="005D432C"/>
    <w:rsid w:val="005D4496"/>
    <w:rsid w:val="005D44DB"/>
    <w:rsid w:val="005D47B4"/>
    <w:rsid w:val="005D4970"/>
    <w:rsid w:val="005D4A9D"/>
    <w:rsid w:val="005D4AEF"/>
    <w:rsid w:val="005D4B3D"/>
    <w:rsid w:val="005D4F3C"/>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956"/>
    <w:rsid w:val="005E0A09"/>
    <w:rsid w:val="005E0C1F"/>
    <w:rsid w:val="005E0CB9"/>
    <w:rsid w:val="005E0D15"/>
    <w:rsid w:val="005E1094"/>
    <w:rsid w:val="005E1158"/>
    <w:rsid w:val="005E11F3"/>
    <w:rsid w:val="005E1310"/>
    <w:rsid w:val="005E139C"/>
    <w:rsid w:val="005E13A1"/>
    <w:rsid w:val="005E14A6"/>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11"/>
    <w:rsid w:val="005E4AAC"/>
    <w:rsid w:val="005E4C8F"/>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768"/>
    <w:rsid w:val="005F085A"/>
    <w:rsid w:val="005F098C"/>
    <w:rsid w:val="005F0B72"/>
    <w:rsid w:val="005F0EE7"/>
    <w:rsid w:val="005F1265"/>
    <w:rsid w:val="005F149C"/>
    <w:rsid w:val="005F14B0"/>
    <w:rsid w:val="005F157C"/>
    <w:rsid w:val="005F1A73"/>
    <w:rsid w:val="005F1E1C"/>
    <w:rsid w:val="005F2011"/>
    <w:rsid w:val="005F20F6"/>
    <w:rsid w:val="005F2646"/>
    <w:rsid w:val="005F26FD"/>
    <w:rsid w:val="005F282D"/>
    <w:rsid w:val="005F2C35"/>
    <w:rsid w:val="005F2E58"/>
    <w:rsid w:val="005F31BD"/>
    <w:rsid w:val="005F31F4"/>
    <w:rsid w:val="005F325A"/>
    <w:rsid w:val="005F3603"/>
    <w:rsid w:val="005F364B"/>
    <w:rsid w:val="005F3D83"/>
    <w:rsid w:val="005F3FD4"/>
    <w:rsid w:val="005F40E3"/>
    <w:rsid w:val="005F4117"/>
    <w:rsid w:val="005F4236"/>
    <w:rsid w:val="005F44A8"/>
    <w:rsid w:val="005F461F"/>
    <w:rsid w:val="005F464B"/>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F0"/>
    <w:rsid w:val="005F750B"/>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CB1"/>
    <w:rsid w:val="00600D72"/>
    <w:rsid w:val="00600DA3"/>
    <w:rsid w:val="00600E2A"/>
    <w:rsid w:val="00600EF6"/>
    <w:rsid w:val="00600F17"/>
    <w:rsid w:val="00601246"/>
    <w:rsid w:val="00601394"/>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5B"/>
    <w:rsid w:val="00607D7C"/>
    <w:rsid w:val="00607EBD"/>
    <w:rsid w:val="00607ED4"/>
    <w:rsid w:val="00607FB1"/>
    <w:rsid w:val="00607FD1"/>
    <w:rsid w:val="00610058"/>
    <w:rsid w:val="00610087"/>
    <w:rsid w:val="006101C1"/>
    <w:rsid w:val="0061021C"/>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57"/>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47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0F4"/>
    <w:rsid w:val="006321BC"/>
    <w:rsid w:val="0063226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999"/>
    <w:rsid w:val="006349BD"/>
    <w:rsid w:val="006349C6"/>
    <w:rsid w:val="00634ABC"/>
    <w:rsid w:val="00634C89"/>
    <w:rsid w:val="00634F6A"/>
    <w:rsid w:val="00634F9B"/>
    <w:rsid w:val="006350A1"/>
    <w:rsid w:val="00635300"/>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347"/>
    <w:rsid w:val="006373BE"/>
    <w:rsid w:val="00637512"/>
    <w:rsid w:val="00637659"/>
    <w:rsid w:val="00637678"/>
    <w:rsid w:val="00637812"/>
    <w:rsid w:val="00637C11"/>
    <w:rsid w:val="00637E1C"/>
    <w:rsid w:val="00637F8B"/>
    <w:rsid w:val="00640071"/>
    <w:rsid w:val="006400B9"/>
    <w:rsid w:val="006405E8"/>
    <w:rsid w:val="00640649"/>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66"/>
    <w:rsid w:val="00650E79"/>
    <w:rsid w:val="0065102B"/>
    <w:rsid w:val="0065114D"/>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353"/>
    <w:rsid w:val="0065442F"/>
    <w:rsid w:val="00654830"/>
    <w:rsid w:val="00654B2E"/>
    <w:rsid w:val="00654D35"/>
    <w:rsid w:val="00654DBD"/>
    <w:rsid w:val="00654F7F"/>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DA4"/>
    <w:rsid w:val="00660E55"/>
    <w:rsid w:val="00660F92"/>
    <w:rsid w:val="006611DB"/>
    <w:rsid w:val="006611EC"/>
    <w:rsid w:val="006614D8"/>
    <w:rsid w:val="00661619"/>
    <w:rsid w:val="006618B2"/>
    <w:rsid w:val="00661935"/>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660"/>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9A0"/>
    <w:rsid w:val="00665AB5"/>
    <w:rsid w:val="00665C1C"/>
    <w:rsid w:val="00665DAE"/>
    <w:rsid w:val="00665DCF"/>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AA3"/>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4C"/>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0D9"/>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88A"/>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B95"/>
    <w:rsid w:val="00687FEF"/>
    <w:rsid w:val="006901E0"/>
    <w:rsid w:val="006901EC"/>
    <w:rsid w:val="00690257"/>
    <w:rsid w:val="0069050C"/>
    <w:rsid w:val="006905A9"/>
    <w:rsid w:val="006906AB"/>
    <w:rsid w:val="006906D9"/>
    <w:rsid w:val="00690772"/>
    <w:rsid w:val="00690869"/>
    <w:rsid w:val="006908C8"/>
    <w:rsid w:val="006909A5"/>
    <w:rsid w:val="00690A8E"/>
    <w:rsid w:val="00690B01"/>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352"/>
    <w:rsid w:val="0069265E"/>
    <w:rsid w:val="006927AF"/>
    <w:rsid w:val="0069285B"/>
    <w:rsid w:val="00692A0A"/>
    <w:rsid w:val="00692B95"/>
    <w:rsid w:val="00692FF6"/>
    <w:rsid w:val="0069314B"/>
    <w:rsid w:val="006931A8"/>
    <w:rsid w:val="0069326D"/>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65A"/>
    <w:rsid w:val="006A16D0"/>
    <w:rsid w:val="006A17AE"/>
    <w:rsid w:val="006A1888"/>
    <w:rsid w:val="006A1AE1"/>
    <w:rsid w:val="006A1BA3"/>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D6"/>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4D5"/>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C3"/>
    <w:rsid w:val="006B2C06"/>
    <w:rsid w:val="006B2CDE"/>
    <w:rsid w:val="006B2F0C"/>
    <w:rsid w:val="006B2FD0"/>
    <w:rsid w:val="006B306F"/>
    <w:rsid w:val="006B3179"/>
    <w:rsid w:val="006B3720"/>
    <w:rsid w:val="006B397F"/>
    <w:rsid w:val="006B3A20"/>
    <w:rsid w:val="006B3E3C"/>
    <w:rsid w:val="006B3F4F"/>
    <w:rsid w:val="006B4136"/>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E12"/>
    <w:rsid w:val="006B5E17"/>
    <w:rsid w:val="006B5F09"/>
    <w:rsid w:val="006B5FE6"/>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A58"/>
    <w:rsid w:val="006C7B35"/>
    <w:rsid w:val="006C7D5A"/>
    <w:rsid w:val="006C7E4F"/>
    <w:rsid w:val="006D0195"/>
    <w:rsid w:val="006D055A"/>
    <w:rsid w:val="006D06B8"/>
    <w:rsid w:val="006D0891"/>
    <w:rsid w:val="006D08D9"/>
    <w:rsid w:val="006D0A3D"/>
    <w:rsid w:val="006D0BFA"/>
    <w:rsid w:val="006D0F1C"/>
    <w:rsid w:val="006D1070"/>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46"/>
    <w:rsid w:val="006D5DA3"/>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100B"/>
    <w:rsid w:val="006E1071"/>
    <w:rsid w:val="006E1295"/>
    <w:rsid w:val="006E140E"/>
    <w:rsid w:val="006E141C"/>
    <w:rsid w:val="006E163A"/>
    <w:rsid w:val="006E16BC"/>
    <w:rsid w:val="006E1737"/>
    <w:rsid w:val="006E18DB"/>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C56"/>
    <w:rsid w:val="006E3CE7"/>
    <w:rsid w:val="006E3D9A"/>
    <w:rsid w:val="006E3EE9"/>
    <w:rsid w:val="006E408C"/>
    <w:rsid w:val="006E42F1"/>
    <w:rsid w:val="006E44A4"/>
    <w:rsid w:val="006E4548"/>
    <w:rsid w:val="006E458D"/>
    <w:rsid w:val="006E46AB"/>
    <w:rsid w:val="006E4706"/>
    <w:rsid w:val="006E4773"/>
    <w:rsid w:val="006E47B6"/>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D54"/>
    <w:rsid w:val="006F5E20"/>
    <w:rsid w:val="006F5F07"/>
    <w:rsid w:val="006F601C"/>
    <w:rsid w:val="006F60DE"/>
    <w:rsid w:val="006F6326"/>
    <w:rsid w:val="006F63B2"/>
    <w:rsid w:val="006F6481"/>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915"/>
    <w:rsid w:val="006F7981"/>
    <w:rsid w:val="006F7E53"/>
    <w:rsid w:val="006F7F8A"/>
    <w:rsid w:val="0070000B"/>
    <w:rsid w:val="007001DC"/>
    <w:rsid w:val="00700298"/>
    <w:rsid w:val="00700321"/>
    <w:rsid w:val="0070037A"/>
    <w:rsid w:val="007003C2"/>
    <w:rsid w:val="00700451"/>
    <w:rsid w:val="00700975"/>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B1A"/>
    <w:rsid w:val="00707BCD"/>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A5C"/>
    <w:rsid w:val="00712B61"/>
    <w:rsid w:val="00712C75"/>
    <w:rsid w:val="00712C97"/>
    <w:rsid w:val="00712CC3"/>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F1C"/>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2F0"/>
    <w:rsid w:val="00726458"/>
    <w:rsid w:val="00726483"/>
    <w:rsid w:val="00726488"/>
    <w:rsid w:val="0072654E"/>
    <w:rsid w:val="0072657D"/>
    <w:rsid w:val="00726A01"/>
    <w:rsid w:val="00726BCE"/>
    <w:rsid w:val="00726E5C"/>
    <w:rsid w:val="00726ED6"/>
    <w:rsid w:val="00726EFA"/>
    <w:rsid w:val="00726EFB"/>
    <w:rsid w:val="00726FDD"/>
    <w:rsid w:val="00727065"/>
    <w:rsid w:val="00727307"/>
    <w:rsid w:val="007274D2"/>
    <w:rsid w:val="007275B7"/>
    <w:rsid w:val="0072760F"/>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2FE"/>
    <w:rsid w:val="00731307"/>
    <w:rsid w:val="00731369"/>
    <w:rsid w:val="007317DA"/>
    <w:rsid w:val="00731911"/>
    <w:rsid w:val="00731BE5"/>
    <w:rsid w:val="00731C85"/>
    <w:rsid w:val="00731DBF"/>
    <w:rsid w:val="00731FE8"/>
    <w:rsid w:val="0073208E"/>
    <w:rsid w:val="00732293"/>
    <w:rsid w:val="007323F9"/>
    <w:rsid w:val="00732488"/>
    <w:rsid w:val="0073252D"/>
    <w:rsid w:val="007326B4"/>
    <w:rsid w:val="007327F2"/>
    <w:rsid w:val="00732C18"/>
    <w:rsid w:val="00732F18"/>
    <w:rsid w:val="00732F32"/>
    <w:rsid w:val="0073301A"/>
    <w:rsid w:val="00733060"/>
    <w:rsid w:val="00733074"/>
    <w:rsid w:val="00733133"/>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AD"/>
    <w:rsid w:val="007405E8"/>
    <w:rsid w:val="0074079C"/>
    <w:rsid w:val="00740893"/>
    <w:rsid w:val="0074099E"/>
    <w:rsid w:val="00740A41"/>
    <w:rsid w:val="00740B5A"/>
    <w:rsid w:val="00740B82"/>
    <w:rsid w:val="00740BD3"/>
    <w:rsid w:val="00740E0C"/>
    <w:rsid w:val="00740F25"/>
    <w:rsid w:val="0074108D"/>
    <w:rsid w:val="007410FC"/>
    <w:rsid w:val="00741235"/>
    <w:rsid w:val="0074127A"/>
    <w:rsid w:val="007414C8"/>
    <w:rsid w:val="007416BF"/>
    <w:rsid w:val="0074187C"/>
    <w:rsid w:val="007418D5"/>
    <w:rsid w:val="007418E7"/>
    <w:rsid w:val="007420F0"/>
    <w:rsid w:val="007426F3"/>
    <w:rsid w:val="007427E4"/>
    <w:rsid w:val="00742A42"/>
    <w:rsid w:val="00742B51"/>
    <w:rsid w:val="00742D6B"/>
    <w:rsid w:val="00742DC2"/>
    <w:rsid w:val="00742E32"/>
    <w:rsid w:val="00742E80"/>
    <w:rsid w:val="00743202"/>
    <w:rsid w:val="0074365E"/>
    <w:rsid w:val="00743717"/>
    <w:rsid w:val="0074399C"/>
    <w:rsid w:val="007439D9"/>
    <w:rsid w:val="00743A3B"/>
    <w:rsid w:val="00743C53"/>
    <w:rsid w:val="00743CB4"/>
    <w:rsid w:val="00743CD6"/>
    <w:rsid w:val="00743E6A"/>
    <w:rsid w:val="00744004"/>
    <w:rsid w:val="00744007"/>
    <w:rsid w:val="0074408C"/>
    <w:rsid w:val="0074434E"/>
    <w:rsid w:val="00744AE6"/>
    <w:rsid w:val="00744D36"/>
    <w:rsid w:val="00744E7A"/>
    <w:rsid w:val="00744FE2"/>
    <w:rsid w:val="00745018"/>
    <w:rsid w:val="0074530E"/>
    <w:rsid w:val="007453E9"/>
    <w:rsid w:val="007454C3"/>
    <w:rsid w:val="007456F5"/>
    <w:rsid w:val="00745732"/>
    <w:rsid w:val="007459F1"/>
    <w:rsid w:val="00745B54"/>
    <w:rsid w:val="00745D09"/>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4EE"/>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8D3"/>
    <w:rsid w:val="0077791B"/>
    <w:rsid w:val="00777ABF"/>
    <w:rsid w:val="00777CC6"/>
    <w:rsid w:val="00777CE2"/>
    <w:rsid w:val="00777EBA"/>
    <w:rsid w:val="00777EE1"/>
    <w:rsid w:val="00777F9F"/>
    <w:rsid w:val="007804C6"/>
    <w:rsid w:val="00780612"/>
    <w:rsid w:val="00780654"/>
    <w:rsid w:val="00780660"/>
    <w:rsid w:val="00780708"/>
    <w:rsid w:val="00780D1E"/>
    <w:rsid w:val="00780E86"/>
    <w:rsid w:val="00780E9C"/>
    <w:rsid w:val="00781047"/>
    <w:rsid w:val="0078107F"/>
    <w:rsid w:val="00781234"/>
    <w:rsid w:val="00781241"/>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98"/>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8C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45"/>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0D4"/>
    <w:rsid w:val="007A4426"/>
    <w:rsid w:val="007A4AAC"/>
    <w:rsid w:val="007A4B6E"/>
    <w:rsid w:val="007A4D24"/>
    <w:rsid w:val="007A4DB9"/>
    <w:rsid w:val="007A4F81"/>
    <w:rsid w:val="007A506F"/>
    <w:rsid w:val="007A50D3"/>
    <w:rsid w:val="007A5176"/>
    <w:rsid w:val="007A51C7"/>
    <w:rsid w:val="007A5426"/>
    <w:rsid w:val="007A56D2"/>
    <w:rsid w:val="007A578F"/>
    <w:rsid w:val="007A5967"/>
    <w:rsid w:val="007A5B60"/>
    <w:rsid w:val="007A5BE7"/>
    <w:rsid w:val="007A5CB1"/>
    <w:rsid w:val="007A5DE2"/>
    <w:rsid w:val="007A5E7B"/>
    <w:rsid w:val="007A5EA5"/>
    <w:rsid w:val="007A5EB1"/>
    <w:rsid w:val="007A5F26"/>
    <w:rsid w:val="007A61FC"/>
    <w:rsid w:val="007A62A0"/>
    <w:rsid w:val="007A6384"/>
    <w:rsid w:val="007A650C"/>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4FA"/>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214"/>
    <w:rsid w:val="007C2423"/>
    <w:rsid w:val="007C259E"/>
    <w:rsid w:val="007C26C9"/>
    <w:rsid w:val="007C283A"/>
    <w:rsid w:val="007C297D"/>
    <w:rsid w:val="007C2AEF"/>
    <w:rsid w:val="007C2BB4"/>
    <w:rsid w:val="007C3458"/>
    <w:rsid w:val="007C3564"/>
    <w:rsid w:val="007C37D8"/>
    <w:rsid w:val="007C37FF"/>
    <w:rsid w:val="007C3A7A"/>
    <w:rsid w:val="007C3B83"/>
    <w:rsid w:val="007C3E23"/>
    <w:rsid w:val="007C3F5E"/>
    <w:rsid w:val="007C4017"/>
    <w:rsid w:val="007C40A0"/>
    <w:rsid w:val="007C44F5"/>
    <w:rsid w:val="007C4676"/>
    <w:rsid w:val="007C46E5"/>
    <w:rsid w:val="007C47A7"/>
    <w:rsid w:val="007C49C3"/>
    <w:rsid w:val="007C4C96"/>
    <w:rsid w:val="007C4D65"/>
    <w:rsid w:val="007C5243"/>
    <w:rsid w:val="007C52D5"/>
    <w:rsid w:val="007C551E"/>
    <w:rsid w:val="007C5AF4"/>
    <w:rsid w:val="007C5D77"/>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21"/>
    <w:rsid w:val="007C7B83"/>
    <w:rsid w:val="007C7BDA"/>
    <w:rsid w:val="007C7BF5"/>
    <w:rsid w:val="007C7CC1"/>
    <w:rsid w:val="007C7DA0"/>
    <w:rsid w:val="007C7F40"/>
    <w:rsid w:val="007D012B"/>
    <w:rsid w:val="007D06C1"/>
    <w:rsid w:val="007D07D7"/>
    <w:rsid w:val="007D0BC1"/>
    <w:rsid w:val="007D0C3D"/>
    <w:rsid w:val="007D0D58"/>
    <w:rsid w:val="007D0D85"/>
    <w:rsid w:val="007D1000"/>
    <w:rsid w:val="007D106D"/>
    <w:rsid w:val="007D121E"/>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5C1"/>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0B0"/>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355"/>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66"/>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39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0E9"/>
    <w:rsid w:val="00804228"/>
    <w:rsid w:val="0080424A"/>
    <w:rsid w:val="00804376"/>
    <w:rsid w:val="0080462E"/>
    <w:rsid w:val="0080467A"/>
    <w:rsid w:val="0080473F"/>
    <w:rsid w:val="00804997"/>
    <w:rsid w:val="00804BA1"/>
    <w:rsid w:val="00804E35"/>
    <w:rsid w:val="00805275"/>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3FB"/>
    <w:rsid w:val="00806484"/>
    <w:rsid w:val="00806596"/>
    <w:rsid w:val="0080671D"/>
    <w:rsid w:val="0080696E"/>
    <w:rsid w:val="00806A9E"/>
    <w:rsid w:val="00806B0F"/>
    <w:rsid w:val="00806BD2"/>
    <w:rsid w:val="00806D6D"/>
    <w:rsid w:val="00806F01"/>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AC7"/>
    <w:rsid w:val="00813D64"/>
    <w:rsid w:val="00813EC9"/>
    <w:rsid w:val="00813F6B"/>
    <w:rsid w:val="00814093"/>
    <w:rsid w:val="008142C8"/>
    <w:rsid w:val="008144BA"/>
    <w:rsid w:val="00814605"/>
    <w:rsid w:val="0081488D"/>
    <w:rsid w:val="0081492F"/>
    <w:rsid w:val="00814C80"/>
    <w:rsid w:val="00814D15"/>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1F6C"/>
    <w:rsid w:val="0082214D"/>
    <w:rsid w:val="008221E8"/>
    <w:rsid w:val="0082223F"/>
    <w:rsid w:val="00822245"/>
    <w:rsid w:val="00822544"/>
    <w:rsid w:val="00822650"/>
    <w:rsid w:val="0082267F"/>
    <w:rsid w:val="0082278D"/>
    <w:rsid w:val="008227BE"/>
    <w:rsid w:val="00822906"/>
    <w:rsid w:val="00822A4F"/>
    <w:rsid w:val="00822C83"/>
    <w:rsid w:val="00822D2A"/>
    <w:rsid w:val="00822D72"/>
    <w:rsid w:val="00822FD7"/>
    <w:rsid w:val="00823228"/>
    <w:rsid w:val="00823422"/>
    <w:rsid w:val="0082364E"/>
    <w:rsid w:val="00823654"/>
    <w:rsid w:val="0082370A"/>
    <w:rsid w:val="00823777"/>
    <w:rsid w:val="00823D3B"/>
    <w:rsid w:val="00824050"/>
    <w:rsid w:val="00824350"/>
    <w:rsid w:val="008245E7"/>
    <w:rsid w:val="00824677"/>
    <w:rsid w:val="008247E2"/>
    <w:rsid w:val="00824A7B"/>
    <w:rsid w:val="00824BA8"/>
    <w:rsid w:val="00824DD4"/>
    <w:rsid w:val="00824EC9"/>
    <w:rsid w:val="0082520A"/>
    <w:rsid w:val="0082543F"/>
    <w:rsid w:val="008254CA"/>
    <w:rsid w:val="008256A3"/>
    <w:rsid w:val="008256E5"/>
    <w:rsid w:val="00825789"/>
    <w:rsid w:val="00825A1D"/>
    <w:rsid w:val="00825B2A"/>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353"/>
    <w:rsid w:val="00830424"/>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871"/>
    <w:rsid w:val="00835ADC"/>
    <w:rsid w:val="00835BB9"/>
    <w:rsid w:val="00835DF4"/>
    <w:rsid w:val="00835FEC"/>
    <w:rsid w:val="0083628D"/>
    <w:rsid w:val="008363EC"/>
    <w:rsid w:val="008365D8"/>
    <w:rsid w:val="00836726"/>
    <w:rsid w:val="0083679F"/>
    <w:rsid w:val="008367E6"/>
    <w:rsid w:val="00836804"/>
    <w:rsid w:val="00836A5D"/>
    <w:rsid w:val="00836AE3"/>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1E8"/>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6FC6"/>
    <w:rsid w:val="00847042"/>
    <w:rsid w:val="00847180"/>
    <w:rsid w:val="008471A1"/>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DF8"/>
    <w:rsid w:val="00852E0F"/>
    <w:rsid w:val="00852E25"/>
    <w:rsid w:val="00852E76"/>
    <w:rsid w:val="00852F23"/>
    <w:rsid w:val="00852FB2"/>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D4F"/>
    <w:rsid w:val="00857F50"/>
    <w:rsid w:val="008600CA"/>
    <w:rsid w:val="0086010E"/>
    <w:rsid w:val="00860312"/>
    <w:rsid w:val="0086039E"/>
    <w:rsid w:val="0086045A"/>
    <w:rsid w:val="008604E1"/>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1D8C"/>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455"/>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92"/>
    <w:rsid w:val="0087421C"/>
    <w:rsid w:val="008745AB"/>
    <w:rsid w:val="00874872"/>
    <w:rsid w:val="008748E3"/>
    <w:rsid w:val="00874D0F"/>
    <w:rsid w:val="00874D1D"/>
    <w:rsid w:val="00874FF1"/>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CD"/>
    <w:rsid w:val="00876759"/>
    <w:rsid w:val="0087686F"/>
    <w:rsid w:val="00876972"/>
    <w:rsid w:val="00876A2B"/>
    <w:rsid w:val="00876A71"/>
    <w:rsid w:val="00876AB9"/>
    <w:rsid w:val="00876B9C"/>
    <w:rsid w:val="00876CDD"/>
    <w:rsid w:val="00876DE8"/>
    <w:rsid w:val="00876F7E"/>
    <w:rsid w:val="008772BA"/>
    <w:rsid w:val="008774BD"/>
    <w:rsid w:val="00877704"/>
    <w:rsid w:val="0087775A"/>
    <w:rsid w:val="008803C2"/>
    <w:rsid w:val="008803C7"/>
    <w:rsid w:val="00880757"/>
    <w:rsid w:val="00880862"/>
    <w:rsid w:val="00880871"/>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C59"/>
    <w:rsid w:val="00892DB4"/>
    <w:rsid w:val="00892EAB"/>
    <w:rsid w:val="00892F61"/>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15"/>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7C4"/>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36"/>
    <w:rsid w:val="008A24EC"/>
    <w:rsid w:val="008A25C7"/>
    <w:rsid w:val="008A2791"/>
    <w:rsid w:val="008A28F3"/>
    <w:rsid w:val="008A2AF8"/>
    <w:rsid w:val="008A2C5B"/>
    <w:rsid w:val="008A2CED"/>
    <w:rsid w:val="008A2D76"/>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51E6"/>
    <w:rsid w:val="008A52FE"/>
    <w:rsid w:val="008A543F"/>
    <w:rsid w:val="008A563E"/>
    <w:rsid w:val="008A56FC"/>
    <w:rsid w:val="008A5D46"/>
    <w:rsid w:val="008A5D63"/>
    <w:rsid w:val="008A5E8A"/>
    <w:rsid w:val="008A5F03"/>
    <w:rsid w:val="008A6272"/>
    <w:rsid w:val="008A6365"/>
    <w:rsid w:val="008A6404"/>
    <w:rsid w:val="008A643E"/>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51"/>
    <w:rsid w:val="008B04AC"/>
    <w:rsid w:val="008B04F1"/>
    <w:rsid w:val="008B0596"/>
    <w:rsid w:val="008B07A8"/>
    <w:rsid w:val="008B0827"/>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3A"/>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229D"/>
    <w:rsid w:val="008C2494"/>
    <w:rsid w:val="008C2835"/>
    <w:rsid w:val="008C29FF"/>
    <w:rsid w:val="008C2A64"/>
    <w:rsid w:val="008C2B6B"/>
    <w:rsid w:val="008C2C21"/>
    <w:rsid w:val="008C308D"/>
    <w:rsid w:val="008C313F"/>
    <w:rsid w:val="008C328C"/>
    <w:rsid w:val="008C3346"/>
    <w:rsid w:val="008C33CE"/>
    <w:rsid w:val="008C34FB"/>
    <w:rsid w:val="008C3602"/>
    <w:rsid w:val="008C3C12"/>
    <w:rsid w:val="008C3CA7"/>
    <w:rsid w:val="008C3F52"/>
    <w:rsid w:val="008C435B"/>
    <w:rsid w:val="008C4547"/>
    <w:rsid w:val="008C47C6"/>
    <w:rsid w:val="008C4EA0"/>
    <w:rsid w:val="008C4EBF"/>
    <w:rsid w:val="008C5093"/>
    <w:rsid w:val="008C51D1"/>
    <w:rsid w:val="008C5310"/>
    <w:rsid w:val="008C5349"/>
    <w:rsid w:val="008C53A1"/>
    <w:rsid w:val="008C53A6"/>
    <w:rsid w:val="008C56FC"/>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7346"/>
    <w:rsid w:val="008C736B"/>
    <w:rsid w:val="008C762B"/>
    <w:rsid w:val="008C77DB"/>
    <w:rsid w:val="008C77F6"/>
    <w:rsid w:val="008C7B80"/>
    <w:rsid w:val="008C7CCE"/>
    <w:rsid w:val="008C7DB4"/>
    <w:rsid w:val="008C7DBA"/>
    <w:rsid w:val="008C7FC7"/>
    <w:rsid w:val="008C7FF3"/>
    <w:rsid w:val="008D01A4"/>
    <w:rsid w:val="008D026A"/>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8B5"/>
    <w:rsid w:val="008D5974"/>
    <w:rsid w:val="008D5B37"/>
    <w:rsid w:val="008D5B96"/>
    <w:rsid w:val="008D5C03"/>
    <w:rsid w:val="008D5F45"/>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B1"/>
    <w:rsid w:val="008E5CBA"/>
    <w:rsid w:val="008E5DB2"/>
    <w:rsid w:val="008E5E8D"/>
    <w:rsid w:val="008E6458"/>
    <w:rsid w:val="008E65E9"/>
    <w:rsid w:val="008E66BF"/>
    <w:rsid w:val="008E698D"/>
    <w:rsid w:val="008E69AF"/>
    <w:rsid w:val="008E69B6"/>
    <w:rsid w:val="008E6B00"/>
    <w:rsid w:val="008E6E44"/>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73A"/>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3C9"/>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3F4"/>
    <w:rsid w:val="0090466B"/>
    <w:rsid w:val="00904878"/>
    <w:rsid w:val="009048DF"/>
    <w:rsid w:val="0090492D"/>
    <w:rsid w:val="00904B15"/>
    <w:rsid w:val="00904B82"/>
    <w:rsid w:val="00904DEF"/>
    <w:rsid w:val="0090508C"/>
    <w:rsid w:val="00905300"/>
    <w:rsid w:val="00905435"/>
    <w:rsid w:val="0090573B"/>
    <w:rsid w:val="009059B2"/>
    <w:rsid w:val="00905B1B"/>
    <w:rsid w:val="00905CCB"/>
    <w:rsid w:val="00905CE9"/>
    <w:rsid w:val="00905DF8"/>
    <w:rsid w:val="009060A7"/>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E56"/>
    <w:rsid w:val="0091221F"/>
    <w:rsid w:val="00912409"/>
    <w:rsid w:val="00912646"/>
    <w:rsid w:val="00912650"/>
    <w:rsid w:val="00912830"/>
    <w:rsid w:val="00912AAA"/>
    <w:rsid w:val="00912B0B"/>
    <w:rsid w:val="00912CC9"/>
    <w:rsid w:val="009134B5"/>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95B"/>
    <w:rsid w:val="00914A78"/>
    <w:rsid w:val="00914CD1"/>
    <w:rsid w:val="00914EDC"/>
    <w:rsid w:val="00914F14"/>
    <w:rsid w:val="0091535E"/>
    <w:rsid w:val="009157A6"/>
    <w:rsid w:val="00915AAD"/>
    <w:rsid w:val="00915B19"/>
    <w:rsid w:val="00916222"/>
    <w:rsid w:val="00916304"/>
    <w:rsid w:val="009163E4"/>
    <w:rsid w:val="00916508"/>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0FA8"/>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AC7"/>
    <w:rsid w:val="00927B3A"/>
    <w:rsid w:val="00930170"/>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58D"/>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CE"/>
    <w:rsid w:val="00940179"/>
    <w:rsid w:val="0094030A"/>
    <w:rsid w:val="00940396"/>
    <w:rsid w:val="0094048F"/>
    <w:rsid w:val="009404D4"/>
    <w:rsid w:val="00940516"/>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3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C8"/>
    <w:rsid w:val="00943EFA"/>
    <w:rsid w:val="00944009"/>
    <w:rsid w:val="0094409D"/>
    <w:rsid w:val="0094418B"/>
    <w:rsid w:val="00944279"/>
    <w:rsid w:val="0094441C"/>
    <w:rsid w:val="00944456"/>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1B"/>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4E"/>
    <w:rsid w:val="0095299D"/>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F9"/>
    <w:rsid w:val="00965C37"/>
    <w:rsid w:val="00965C58"/>
    <w:rsid w:val="00965CD5"/>
    <w:rsid w:val="00965CE0"/>
    <w:rsid w:val="00965CFC"/>
    <w:rsid w:val="00966132"/>
    <w:rsid w:val="009664BC"/>
    <w:rsid w:val="0096663B"/>
    <w:rsid w:val="009667B7"/>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43"/>
    <w:rsid w:val="00972786"/>
    <w:rsid w:val="009727C2"/>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A11"/>
    <w:rsid w:val="00975A39"/>
    <w:rsid w:val="00975AE7"/>
    <w:rsid w:val="00975B28"/>
    <w:rsid w:val="00975D38"/>
    <w:rsid w:val="00975D40"/>
    <w:rsid w:val="00975E1D"/>
    <w:rsid w:val="00975E1F"/>
    <w:rsid w:val="00975E50"/>
    <w:rsid w:val="00975ED5"/>
    <w:rsid w:val="0097691B"/>
    <w:rsid w:val="00976980"/>
    <w:rsid w:val="00976E33"/>
    <w:rsid w:val="0097707F"/>
    <w:rsid w:val="009771B5"/>
    <w:rsid w:val="00977325"/>
    <w:rsid w:val="00977373"/>
    <w:rsid w:val="00977463"/>
    <w:rsid w:val="009777F8"/>
    <w:rsid w:val="00977F8E"/>
    <w:rsid w:val="00977FB2"/>
    <w:rsid w:val="00980217"/>
    <w:rsid w:val="00980329"/>
    <w:rsid w:val="0098040D"/>
    <w:rsid w:val="0098077A"/>
    <w:rsid w:val="0098099E"/>
    <w:rsid w:val="00980BBD"/>
    <w:rsid w:val="00980C12"/>
    <w:rsid w:val="00980CA3"/>
    <w:rsid w:val="00980CB9"/>
    <w:rsid w:val="00980DA5"/>
    <w:rsid w:val="00980DC2"/>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260"/>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278"/>
    <w:rsid w:val="009876DF"/>
    <w:rsid w:val="0098785F"/>
    <w:rsid w:val="00987A6B"/>
    <w:rsid w:val="00987AA5"/>
    <w:rsid w:val="00987B60"/>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BE"/>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D38"/>
    <w:rsid w:val="009A2DE2"/>
    <w:rsid w:val="009A2E0C"/>
    <w:rsid w:val="009A2F76"/>
    <w:rsid w:val="009A3288"/>
    <w:rsid w:val="009A32BA"/>
    <w:rsid w:val="009A3308"/>
    <w:rsid w:val="009A34FB"/>
    <w:rsid w:val="009A35D5"/>
    <w:rsid w:val="009A3884"/>
    <w:rsid w:val="009A3963"/>
    <w:rsid w:val="009A3A9A"/>
    <w:rsid w:val="009A3AFB"/>
    <w:rsid w:val="009A3C97"/>
    <w:rsid w:val="009A3D2F"/>
    <w:rsid w:val="009A3DB2"/>
    <w:rsid w:val="009A3E51"/>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95A"/>
    <w:rsid w:val="009A6A4B"/>
    <w:rsid w:val="009A6A7B"/>
    <w:rsid w:val="009A6C76"/>
    <w:rsid w:val="009A6CD5"/>
    <w:rsid w:val="009A6E04"/>
    <w:rsid w:val="009A7170"/>
    <w:rsid w:val="009A71D4"/>
    <w:rsid w:val="009A7522"/>
    <w:rsid w:val="009A7628"/>
    <w:rsid w:val="009A780B"/>
    <w:rsid w:val="009A781E"/>
    <w:rsid w:val="009A785E"/>
    <w:rsid w:val="009A7DD1"/>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26"/>
    <w:rsid w:val="009B3D9C"/>
    <w:rsid w:val="009B3F53"/>
    <w:rsid w:val="009B401F"/>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B11"/>
    <w:rsid w:val="009B4C13"/>
    <w:rsid w:val="009B4C71"/>
    <w:rsid w:val="009B4D47"/>
    <w:rsid w:val="009B4E7A"/>
    <w:rsid w:val="009B559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50D"/>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0B4"/>
    <w:rsid w:val="009C4139"/>
    <w:rsid w:val="009C4156"/>
    <w:rsid w:val="009C47C8"/>
    <w:rsid w:val="009C49A7"/>
    <w:rsid w:val="009C49AD"/>
    <w:rsid w:val="009C4A08"/>
    <w:rsid w:val="009C4A40"/>
    <w:rsid w:val="009C4A4F"/>
    <w:rsid w:val="009C4C8B"/>
    <w:rsid w:val="009C4C98"/>
    <w:rsid w:val="009C4E3F"/>
    <w:rsid w:val="009C4E71"/>
    <w:rsid w:val="009C4ED2"/>
    <w:rsid w:val="009C5227"/>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4D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509"/>
    <w:rsid w:val="009D3780"/>
    <w:rsid w:val="009D3801"/>
    <w:rsid w:val="009D396A"/>
    <w:rsid w:val="009D3BAA"/>
    <w:rsid w:val="009D3C9A"/>
    <w:rsid w:val="009D3CA7"/>
    <w:rsid w:val="009D3D8C"/>
    <w:rsid w:val="009D3DDD"/>
    <w:rsid w:val="009D3F70"/>
    <w:rsid w:val="009D43D7"/>
    <w:rsid w:val="009D44B7"/>
    <w:rsid w:val="009D46EC"/>
    <w:rsid w:val="009D46EF"/>
    <w:rsid w:val="009D47B3"/>
    <w:rsid w:val="009D47C3"/>
    <w:rsid w:val="009D488D"/>
    <w:rsid w:val="009D48E6"/>
    <w:rsid w:val="009D4B6D"/>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7D0"/>
    <w:rsid w:val="009D6C5A"/>
    <w:rsid w:val="009D6C88"/>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7CA"/>
    <w:rsid w:val="009E7A48"/>
    <w:rsid w:val="009E7D59"/>
    <w:rsid w:val="009F043B"/>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9F7DA7"/>
    <w:rsid w:val="00A00030"/>
    <w:rsid w:val="00A00039"/>
    <w:rsid w:val="00A00509"/>
    <w:rsid w:val="00A0068E"/>
    <w:rsid w:val="00A0074C"/>
    <w:rsid w:val="00A00902"/>
    <w:rsid w:val="00A00BCB"/>
    <w:rsid w:val="00A00BE1"/>
    <w:rsid w:val="00A00CD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A13"/>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5F4C"/>
    <w:rsid w:val="00A062A2"/>
    <w:rsid w:val="00A062C4"/>
    <w:rsid w:val="00A0634B"/>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438"/>
    <w:rsid w:val="00A12563"/>
    <w:rsid w:val="00A126B4"/>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43"/>
    <w:rsid w:val="00A17EEB"/>
    <w:rsid w:val="00A20104"/>
    <w:rsid w:val="00A20694"/>
    <w:rsid w:val="00A208A9"/>
    <w:rsid w:val="00A20A4A"/>
    <w:rsid w:val="00A20E10"/>
    <w:rsid w:val="00A20E2E"/>
    <w:rsid w:val="00A20F8B"/>
    <w:rsid w:val="00A21006"/>
    <w:rsid w:val="00A2133F"/>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3D2"/>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8A9"/>
    <w:rsid w:val="00A2592E"/>
    <w:rsid w:val="00A25B00"/>
    <w:rsid w:val="00A25BAA"/>
    <w:rsid w:val="00A25BFE"/>
    <w:rsid w:val="00A25CFA"/>
    <w:rsid w:val="00A25DF2"/>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937"/>
    <w:rsid w:val="00A32D2B"/>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2D3"/>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6B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537"/>
    <w:rsid w:val="00A476FB"/>
    <w:rsid w:val="00A4778D"/>
    <w:rsid w:val="00A47D3F"/>
    <w:rsid w:val="00A47F1E"/>
    <w:rsid w:val="00A5028B"/>
    <w:rsid w:val="00A502AC"/>
    <w:rsid w:val="00A503AD"/>
    <w:rsid w:val="00A504FF"/>
    <w:rsid w:val="00A5058E"/>
    <w:rsid w:val="00A50604"/>
    <w:rsid w:val="00A50751"/>
    <w:rsid w:val="00A50867"/>
    <w:rsid w:val="00A50B44"/>
    <w:rsid w:val="00A50BC9"/>
    <w:rsid w:val="00A51011"/>
    <w:rsid w:val="00A51034"/>
    <w:rsid w:val="00A512F9"/>
    <w:rsid w:val="00A515DE"/>
    <w:rsid w:val="00A51609"/>
    <w:rsid w:val="00A5168B"/>
    <w:rsid w:val="00A517DE"/>
    <w:rsid w:val="00A51AD8"/>
    <w:rsid w:val="00A51E99"/>
    <w:rsid w:val="00A51FBD"/>
    <w:rsid w:val="00A52039"/>
    <w:rsid w:val="00A52126"/>
    <w:rsid w:val="00A52245"/>
    <w:rsid w:val="00A524D2"/>
    <w:rsid w:val="00A525F0"/>
    <w:rsid w:val="00A528A5"/>
    <w:rsid w:val="00A52F37"/>
    <w:rsid w:val="00A5318B"/>
    <w:rsid w:val="00A53260"/>
    <w:rsid w:val="00A53293"/>
    <w:rsid w:val="00A5343C"/>
    <w:rsid w:val="00A534DA"/>
    <w:rsid w:val="00A53717"/>
    <w:rsid w:val="00A5374D"/>
    <w:rsid w:val="00A5378C"/>
    <w:rsid w:val="00A5398E"/>
    <w:rsid w:val="00A53B0A"/>
    <w:rsid w:val="00A53B0D"/>
    <w:rsid w:val="00A53B3F"/>
    <w:rsid w:val="00A53EB4"/>
    <w:rsid w:val="00A53EEE"/>
    <w:rsid w:val="00A541B3"/>
    <w:rsid w:val="00A541FC"/>
    <w:rsid w:val="00A54348"/>
    <w:rsid w:val="00A544EC"/>
    <w:rsid w:val="00A54574"/>
    <w:rsid w:val="00A546D1"/>
    <w:rsid w:val="00A54A2F"/>
    <w:rsid w:val="00A54F1B"/>
    <w:rsid w:val="00A5559F"/>
    <w:rsid w:val="00A55857"/>
    <w:rsid w:val="00A55A0C"/>
    <w:rsid w:val="00A55D21"/>
    <w:rsid w:val="00A55D5A"/>
    <w:rsid w:val="00A55DDB"/>
    <w:rsid w:val="00A55EAD"/>
    <w:rsid w:val="00A560BE"/>
    <w:rsid w:val="00A561B5"/>
    <w:rsid w:val="00A56458"/>
    <w:rsid w:val="00A564A2"/>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75"/>
    <w:rsid w:val="00A710A9"/>
    <w:rsid w:val="00A710AF"/>
    <w:rsid w:val="00A710B7"/>
    <w:rsid w:val="00A710EE"/>
    <w:rsid w:val="00A71310"/>
    <w:rsid w:val="00A7139B"/>
    <w:rsid w:val="00A713F9"/>
    <w:rsid w:val="00A71544"/>
    <w:rsid w:val="00A716D7"/>
    <w:rsid w:val="00A7177F"/>
    <w:rsid w:val="00A71961"/>
    <w:rsid w:val="00A71AB9"/>
    <w:rsid w:val="00A71B1C"/>
    <w:rsid w:val="00A71E7E"/>
    <w:rsid w:val="00A71FC3"/>
    <w:rsid w:val="00A724E5"/>
    <w:rsid w:val="00A725D4"/>
    <w:rsid w:val="00A7267E"/>
    <w:rsid w:val="00A72864"/>
    <w:rsid w:val="00A72A61"/>
    <w:rsid w:val="00A72A7A"/>
    <w:rsid w:val="00A72AB8"/>
    <w:rsid w:val="00A72DC4"/>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CDB"/>
    <w:rsid w:val="00A75492"/>
    <w:rsid w:val="00A7549A"/>
    <w:rsid w:val="00A75542"/>
    <w:rsid w:val="00A75588"/>
    <w:rsid w:val="00A75618"/>
    <w:rsid w:val="00A75818"/>
    <w:rsid w:val="00A75A1C"/>
    <w:rsid w:val="00A75CB9"/>
    <w:rsid w:val="00A75DF7"/>
    <w:rsid w:val="00A760F2"/>
    <w:rsid w:val="00A761C8"/>
    <w:rsid w:val="00A763C7"/>
    <w:rsid w:val="00A764E4"/>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409"/>
    <w:rsid w:val="00A84465"/>
    <w:rsid w:val="00A84610"/>
    <w:rsid w:val="00A84680"/>
    <w:rsid w:val="00A84B7B"/>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8"/>
    <w:rsid w:val="00A87742"/>
    <w:rsid w:val="00A878AC"/>
    <w:rsid w:val="00A87938"/>
    <w:rsid w:val="00A879EB"/>
    <w:rsid w:val="00A87A4C"/>
    <w:rsid w:val="00A87B66"/>
    <w:rsid w:val="00A87D33"/>
    <w:rsid w:val="00A87EB5"/>
    <w:rsid w:val="00A90616"/>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9E6"/>
    <w:rsid w:val="00A91AEE"/>
    <w:rsid w:val="00A91B8A"/>
    <w:rsid w:val="00A91E8C"/>
    <w:rsid w:val="00A92295"/>
    <w:rsid w:val="00A925F3"/>
    <w:rsid w:val="00A92602"/>
    <w:rsid w:val="00A92891"/>
    <w:rsid w:val="00A92943"/>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5F4"/>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746"/>
    <w:rsid w:val="00A95BDA"/>
    <w:rsid w:val="00A95C09"/>
    <w:rsid w:val="00A95CAD"/>
    <w:rsid w:val="00A95E2C"/>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60F"/>
    <w:rsid w:val="00AA06EB"/>
    <w:rsid w:val="00AA07C9"/>
    <w:rsid w:val="00AA07DE"/>
    <w:rsid w:val="00AA0E4E"/>
    <w:rsid w:val="00AA0FAE"/>
    <w:rsid w:val="00AA0FB4"/>
    <w:rsid w:val="00AA0FDC"/>
    <w:rsid w:val="00AA1060"/>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3B"/>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A1B"/>
    <w:rsid w:val="00AA6A8F"/>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B06AF"/>
    <w:rsid w:val="00AB0745"/>
    <w:rsid w:val="00AB0BE8"/>
    <w:rsid w:val="00AB0F11"/>
    <w:rsid w:val="00AB0FB6"/>
    <w:rsid w:val="00AB1249"/>
    <w:rsid w:val="00AB13CE"/>
    <w:rsid w:val="00AB15AA"/>
    <w:rsid w:val="00AB15FA"/>
    <w:rsid w:val="00AB17B0"/>
    <w:rsid w:val="00AB1933"/>
    <w:rsid w:val="00AB1AF2"/>
    <w:rsid w:val="00AB1C77"/>
    <w:rsid w:val="00AB1F15"/>
    <w:rsid w:val="00AB1F4B"/>
    <w:rsid w:val="00AB1F5C"/>
    <w:rsid w:val="00AB1F66"/>
    <w:rsid w:val="00AB1FDD"/>
    <w:rsid w:val="00AB1FE6"/>
    <w:rsid w:val="00AB2348"/>
    <w:rsid w:val="00AB235C"/>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6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7141"/>
    <w:rsid w:val="00AB71D0"/>
    <w:rsid w:val="00AB72AB"/>
    <w:rsid w:val="00AB742A"/>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798"/>
    <w:rsid w:val="00AC4813"/>
    <w:rsid w:val="00AC4888"/>
    <w:rsid w:val="00AC48D4"/>
    <w:rsid w:val="00AC4993"/>
    <w:rsid w:val="00AC5202"/>
    <w:rsid w:val="00AC529F"/>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F7D"/>
    <w:rsid w:val="00AD1FF2"/>
    <w:rsid w:val="00AD222D"/>
    <w:rsid w:val="00AD2244"/>
    <w:rsid w:val="00AD238A"/>
    <w:rsid w:val="00AD2447"/>
    <w:rsid w:val="00AD249E"/>
    <w:rsid w:val="00AD27F6"/>
    <w:rsid w:val="00AD296D"/>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2F"/>
    <w:rsid w:val="00AD5546"/>
    <w:rsid w:val="00AD5573"/>
    <w:rsid w:val="00AD5774"/>
    <w:rsid w:val="00AD57B6"/>
    <w:rsid w:val="00AD594E"/>
    <w:rsid w:val="00AD5A2D"/>
    <w:rsid w:val="00AD5AA6"/>
    <w:rsid w:val="00AD5C76"/>
    <w:rsid w:val="00AD5CBE"/>
    <w:rsid w:val="00AD5E54"/>
    <w:rsid w:val="00AD5F9E"/>
    <w:rsid w:val="00AD627A"/>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D7E52"/>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A55"/>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AFB"/>
    <w:rsid w:val="00AE6C62"/>
    <w:rsid w:val="00AE6C7B"/>
    <w:rsid w:val="00AE6D14"/>
    <w:rsid w:val="00AE6F32"/>
    <w:rsid w:val="00AE7130"/>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68"/>
    <w:rsid w:val="00AF0453"/>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D8"/>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E36"/>
    <w:rsid w:val="00AF6184"/>
    <w:rsid w:val="00AF6356"/>
    <w:rsid w:val="00AF63A2"/>
    <w:rsid w:val="00AF63BB"/>
    <w:rsid w:val="00AF6463"/>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7EF"/>
    <w:rsid w:val="00B00AAA"/>
    <w:rsid w:val="00B0108B"/>
    <w:rsid w:val="00B011E9"/>
    <w:rsid w:val="00B01282"/>
    <w:rsid w:val="00B01287"/>
    <w:rsid w:val="00B0155B"/>
    <w:rsid w:val="00B01630"/>
    <w:rsid w:val="00B0165F"/>
    <w:rsid w:val="00B01838"/>
    <w:rsid w:val="00B01A14"/>
    <w:rsid w:val="00B01A25"/>
    <w:rsid w:val="00B01C07"/>
    <w:rsid w:val="00B01C4D"/>
    <w:rsid w:val="00B01CDE"/>
    <w:rsid w:val="00B01D69"/>
    <w:rsid w:val="00B01DC9"/>
    <w:rsid w:val="00B02127"/>
    <w:rsid w:val="00B02139"/>
    <w:rsid w:val="00B0217B"/>
    <w:rsid w:val="00B021EF"/>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3C4"/>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70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FC0"/>
    <w:rsid w:val="00B270D4"/>
    <w:rsid w:val="00B27413"/>
    <w:rsid w:val="00B27426"/>
    <w:rsid w:val="00B274CB"/>
    <w:rsid w:val="00B2786A"/>
    <w:rsid w:val="00B278C9"/>
    <w:rsid w:val="00B27924"/>
    <w:rsid w:val="00B27AC5"/>
    <w:rsid w:val="00B27F25"/>
    <w:rsid w:val="00B27FEC"/>
    <w:rsid w:val="00B30120"/>
    <w:rsid w:val="00B3032A"/>
    <w:rsid w:val="00B304E9"/>
    <w:rsid w:val="00B30654"/>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4D0"/>
    <w:rsid w:val="00B3253D"/>
    <w:rsid w:val="00B325BD"/>
    <w:rsid w:val="00B32627"/>
    <w:rsid w:val="00B3291D"/>
    <w:rsid w:val="00B32A68"/>
    <w:rsid w:val="00B32E9C"/>
    <w:rsid w:val="00B331C9"/>
    <w:rsid w:val="00B33360"/>
    <w:rsid w:val="00B33484"/>
    <w:rsid w:val="00B335DE"/>
    <w:rsid w:val="00B3366F"/>
    <w:rsid w:val="00B336A7"/>
    <w:rsid w:val="00B336B0"/>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2AC"/>
    <w:rsid w:val="00B403FD"/>
    <w:rsid w:val="00B406BF"/>
    <w:rsid w:val="00B406FA"/>
    <w:rsid w:val="00B40859"/>
    <w:rsid w:val="00B409C6"/>
    <w:rsid w:val="00B409FB"/>
    <w:rsid w:val="00B40AE0"/>
    <w:rsid w:val="00B40EA9"/>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2C90"/>
    <w:rsid w:val="00B430A8"/>
    <w:rsid w:val="00B431F9"/>
    <w:rsid w:val="00B43268"/>
    <w:rsid w:val="00B4331F"/>
    <w:rsid w:val="00B43423"/>
    <w:rsid w:val="00B435BC"/>
    <w:rsid w:val="00B435D5"/>
    <w:rsid w:val="00B435F2"/>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DAF"/>
    <w:rsid w:val="00B46E36"/>
    <w:rsid w:val="00B46F36"/>
    <w:rsid w:val="00B46F71"/>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07"/>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3C4"/>
    <w:rsid w:val="00B55A82"/>
    <w:rsid w:val="00B55BEA"/>
    <w:rsid w:val="00B55D36"/>
    <w:rsid w:val="00B55D92"/>
    <w:rsid w:val="00B55E5A"/>
    <w:rsid w:val="00B55ED7"/>
    <w:rsid w:val="00B55FAC"/>
    <w:rsid w:val="00B56312"/>
    <w:rsid w:val="00B56471"/>
    <w:rsid w:val="00B56641"/>
    <w:rsid w:val="00B56B0A"/>
    <w:rsid w:val="00B56C38"/>
    <w:rsid w:val="00B56FAF"/>
    <w:rsid w:val="00B570A3"/>
    <w:rsid w:val="00B57681"/>
    <w:rsid w:val="00B577B6"/>
    <w:rsid w:val="00B57874"/>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67FEB"/>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379"/>
    <w:rsid w:val="00B744E7"/>
    <w:rsid w:val="00B7468B"/>
    <w:rsid w:val="00B748C2"/>
    <w:rsid w:val="00B748FB"/>
    <w:rsid w:val="00B74BCD"/>
    <w:rsid w:val="00B75007"/>
    <w:rsid w:val="00B75349"/>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33B"/>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FB"/>
    <w:rsid w:val="00B812AE"/>
    <w:rsid w:val="00B81334"/>
    <w:rsid w:val="00B8143E"/>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6C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C24"/>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AC"/>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42D"/>
    <w:rsid w:val="00BA36A1"/>
    <w:rsid w:val="00BA3979"/>
    <w:rsid w:val="00BA39D8"/>
    <w:rsid w:val="00BA3BE5"/>
    <w:rsid w:val="00BA413F"/>
    <w:rsid w:val="00BA440F"/>
    <w:rsid w:val="00BA44AA"/>
    <w:rsid w:val="00BA471B"/>
    <w:rsid w:val="00BA475C"/>
    <w:rsid w:val="00BA4791"/>
    <w:rsid w:val="00BA4852"/>
    <w:rsid w:val="00BA4CD8"/>
    <w:rsid w:val="00BA4D0A"/>
    <w:rsid w:val="00BA4DBE"/>
    <w:rsid w:val="00BA4F2B"/>
    <w:rsid w:val="00BA5147"/>
    <w:rsid w:val="00BA51DD"/>
    <w:rsid w:val="00BA51DF"/>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CF"/>
    <w:rsid w:val="00BB79D4"/>
    <w:rsid w:val="00BB7B74"/>
    <w:rsid w:val="00BB7CE6"/>
    <w:rsid w:val="00BB7D90"/>
    <w:rsid w:val="00BC0061"/>
    <w:rsid w:val="00BC00F1"/>
    <w:rsid w:val="00BC01C6"/>
    <w:rsid w:val="00BC02D9"/>
    <w:rsid w:val="00BC046A"/>
    <w:rsid w:val="00BC0563"/>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C75"/>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F9B"/>
    <w:rsid w:val="00BD0FF6"/>
    <w:rsid w:val="00BD10C3"/>
    <w:rsid w:val="00BD1170"/>
    <w:rsid w:val="00BD11B3"/>
    <w:rsid w:val="00BD152C"/>
    <w:rsid w:val="00BD1631"/>
    <w:rsid w:val="00BD1775"/>
    <w:rsid w:val="00BD1ADF"/>
    <w:rsid w:val="00BD1D65"/>
    <w:rsid w:val="00BD1D88"/>
    <w:rsid w:val="00BD1DF6"/>
    <w:rsid w:val="00BD1E5C"/>
    <w:rsid w:val="00BD2014"/>
    <w:rsid w:val="00BD2133"/>
    <w:rsid w:val="00BD2215"/>
    <w:rsid w:val="00BD23EE"/>
    <w:rsid w:val="00BD2527"/>
    <w:rsid w:val="00BD2696"/>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4F3A"/>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9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00"/>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7F0"/>
    <w:rsid w:val="00C0394D"/>
    <w:rsid w:val="00C039D3"/>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BCF"/>
    <w:rsid w:val="00C04D75"/>
    <w:rsid w:val="00C04E6F"/>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5EA"/>
    <w:rsid w:val="00C2466D"/>
    <w:rsid w:val="00C24836"/>
    <w:rsid w:val="00C24AC1"/>
    <w:rsid w:val="00C24B2E"/>
    <w:rsid w:val="00C24B8F"/>
    <w:rsid w:val="00C2514F"/>
    <w:rsid w:val="00C256AF"/>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5D4F"/>
    <w:rsid w:val="00C36343"/>
    <w:rsid w:val="00C363AB"/>
    <w:rsid w:val="00C36535"/>
    <w:rsid w:val="00C368E7"/>
    <w:rsid w:val="00C36AF2"/>
    <w:rsid w:val="00C36B46"/>
    <w:rsid w:val="00C36B4B"/>
    <w:rsid w:val="00C36C1E"/>
    <w:rsid w:val="00C36CAB"/>
    <w:rsid w:val="00C36F75"/>
    <w:rsid w:val="00C37064"/>
    <w:rsid w:val="00C372A7"/>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CA4"/>
    <w:rsid w:val="00C47EE8"/>
    <w:rsid w:val="00C47F0C"/>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705"/>
    <w:rsid w:val="00C517E9"/>
    <w:rsid w:val="00C517F3"/>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5FB7"/>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C4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49"/>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4F0C"/>
    <w:rsid w:val="00C65089"/>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8D"/>
    <w:rsid w:val="00C71195"/>
    <w:rsid w:val="00C7134B"/>
    <w:rsid w:val="00C714EF"/>
    <w:rsid w:val="00C7155F"/>
    <w:rsid w:val="00C71605"/>
    <w:rsid w:val="00C71A6D"/>
    <w:rsid w:val="00C71C72"/>
    <w:rsid w:val="00C71D87"/>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6BA"/>
    <w:rsid w:val="00C807A2"/>
    <w:rsid w:val="00C80AF7"/>
    <w:rsid w:val="00C80C01"/>
    <w:rsid w:val="00C80C33"/>
    <w:rsid w:val="00C80D0C"/>
    <w:rsid w:val="00C80E60"/>
    <w:rsid w:val="00C80EEC"/>
    <w:rsid w:val="00C810B5"/>
    <w:rsid w:val="00C812C0"/>
    <w:rsid w:val="00C814D1"/>
    <w:rsid w:val="00C81C9F"/>
    <w:rsid w:val="00C81CA8"/>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B00"/>
    <w:rsid w:val="00C87B3D"/>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E7A"/>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4CE"/>
    <w:rsid w:val="00C95525"/>
    <w:rsid w:val="00C9552E"/>
    <w:rsid w:val="00C95541"/>
    <w:rsid w:val="00C9569A"/>
    <w:rsid w:val="00C9596D"/>
    <w:rsid w:val="00C95A0B"/>
    <w:rsid w:val="00C95CAF"/>
    <w:rsid w:val="00C95D18"/>
    <w:rsid w:val="00C95D3E"/>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24D"/>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598"/>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DDB"/>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9EB"/>
    <w:rsid w:val="00CB0C83"/>
    <w:rsid w:val="00CB0CBC"/>
    <w:rsid w:val="00CB0D2B"/>
    <w:rsid w:val="00CB0FDE"/>
    <w:rsid w:val="00CB101F"/>
    <w:rsid w:val="00CB1152"/>
    <w:rsid w:val="00CB1267"/>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FC3"/>
    <w:rsid w:val="00CB3FF3"/>
    <w:rsid w:val="00CB4067"/>
    <w:rsid w:val="00CB42C2"/>
    <w:rsid w:val="00CB42F5"/>
    <w:rsid w:val="00CB43F9"/>
    <w:rsid w:val="00CB45FA"/>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6DF1"/>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26"/>
    <w:rsid w:val="00CD0637"/>
    <w:rsid w:val="00CD06ED"/>
    <w:rsid w:val="00CD0706"/>
    <w:rsid w:val="00CD08DC"/>
    <w:rsid w:val="00CD090D"/>
    <w:rsid w:val="00CD094F"/>
    <w:rsid w:val="00CD09DF"/>
    <w:rsid w:val="00CD0B04"/>
    <w:rsid w:val="00CD0CAE"/>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399"/>
    <w:rsid w:val="00CD2698"/>
    <w:rsid w:val="00CD27A2"/>
    <w:rsid w:val="00CD281C"/>
    <w:rsid w:val="00CD2BA1"/>
    <w:rsid w:val="00CD2D31"/>
    <w:rsid w:val="00CD3229"/>
    <w:rsid w:val="00CD325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850"/>
    <w:rsid w:val="00CE4986"/>
    <w:rsid w:val="00CE49C8"/>
    <w:rsid w:val="00CE4ACC"/>
    <w:rsid w:val="00CE4B2E"/>
    <w:rsid w:val="00CE4CFB"/>
    <w:rsid w:val="00CE4D17"/>
    <w:rsid w:val="00CE4DDD"/>
    <w:rsid w:val="00CE503A"/>
    <w:rsid w:val="00CE50C1"/>
    <w:rsid w:val="00CE5259"/>
    <w:rsid w:val="00CE5270"/>
    <w:rsid w:val="00CE52DB"/>
    <w:rsid w:val="00CE530C"/>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A0D"/>
    <w:rsid w:val="00CE7A6E"/>
    <w:rsid w:val="00CE7B5A"/>
    <w:rsid w:val="00CE7F55"/>
    <w:rsid w:val="00CF013B"/>
    <w:rsid w:val="00CF0203"/>
    <w:rsid w:val="00CF028B"/>
    <w:rsid w:val="00CF035D"/>
    <w:rsid w:val="00CF04B8"/>
    <w:rsid w:val="00CF0737"/>
    <w:rsid w:val="00CF0866"/>
    <w:rsid w:val="00CF091B"/>
    <w:rsid w:val="00CF0B07"/>
    <w:rsid w:val="00CF0C01"/>
    <w:rsid w:val="00CF0C1E"/>
    <w:rsid w:val="00CF0DC5"/>
    <w:rsid w:val="00CF1073"/>
    <w:rsid w:val="00CF10EA"/>
    <w:rsid w:val="00CF119B"/>
    <w:rsid w:val="00CF12B0"/>
    <w:rsid w:val="00CF1357"/>
    <w:rsid w:val="00CF1433"/>
    <w:rsid w:val="00CF199C"/>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49B8"/>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6A"/>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11A"/>
    <w:rsid w:val="00D1235A"/>
    <w:rsid w:val="00D1246A"/>
    <w:rsid w:val="00D125A4"/>
    <w:rsid w:val="00D128B7"/>
    <w:rsid w:val="00D12928"/>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871"/>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3DD"/>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903"/>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39"/>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D8B"/>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3064"/>
    <w:rsid w:val="00D4309D"/>
    <w:rsid w:val="00D4320D"/>
    <w:rsid w:val="00D434C8"/>
    <w:rsid w:val="00D435F3"/>
    <w:rsid w:val="00D4369D"/>
    <w:rsid w:val="00D436FB"/>
    <w:rsid w:val="00D4380B"/>
    <w:rsid w:val="00D4394E"/>
    <w:rsid w:val="00D43BA1"/>
    <w:rsid w:val="00D43D57"/>
    <w:rsid w:val="00D43E19"/>
    <w:rsid w:val="00D43FEE"/>
    <w:rsid w:val="00D441CD"/>
    <w:rsid w:val="00D4424B"/>
    <w:rsid w:val="00D4426A"/>
    <w:rsid w:val="00D444D7"/>
    <w:rsid w:val="00D445D4"/>
    <w:rsid w:val="00D44765"/>
    <w:rsid w:val="00D447AF"/>
    <w:rsid w:val="00D44973"/>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BF8"/>
    <w:rsid w:val="00D50C40"/>
    <w:rsid w:val="00D50CD9"/>
    <w:rsid w:val="00D50DEA"/>
    <w:rsid w:val="00D510DD"/>
    <w:rsid w:val="00D5124F"/>
    <w:rsid w:val="00D51453"/>
    <w:rsid w:val="00D51483"/>
    <w:rsid w:val="00D514E9"/>
    <w:rsid w:val="00D51842"/>
    <w:rsid w:val="00D5193A"/>
    <w:rsid w:val="00D51AAF"/>
    <w:rsid w:val="00D51BAD"/>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4B"/>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BD"/>
    <w:rsid w:val="00D65704"/>
    <w:rsid w:val="00D6593A"/>
    <w:rsid w:val="00D65960"/>
    <w:rsid w:val="00D65993"/>
    <w:rsid w:val="00D65C14"/>
    <w:rsid w:val="00D65D37"/>
    <w:rsid w:val="00D65E53"/>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AF"/>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7F4"/>
    <w:rsid w:val="00D73BE5"/>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48"/>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756"/>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A6"/>
    <w:rsid w:val="00D873ED"/>
    <w:rsid w:val="00D8748A"/>
    <w:rsid w:val="00D874C5"/>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6E"/>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0FA4"/>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BE8"/>
    <w:rsid w:val="00DA5C39"/>
    <w:rsid w:val="00DA5DCF"/>
    <w:rsid w:val="00DA5DEA"/>
    <w:rsid w:val="00DA5E6A"/>
    <w:rsid w:val="00DA5F0F"/>
    <w:rsid w:val="00DA60A7"/>
    <w:rsid w:val="00DA634F"/>
    <w:rsid w:val="00DA675E"/>
    <w:rsid w:val="00DA6774"/>
    <w:rsid w:val="00DA6C6E"/>
    <w:rsid w:val="00DA6F61"/>
    <w:rsid w:val="00DA7299"/>
    <w:rsid w:val="00DA7318"/>
    <w:rsid w:val="00DA759F"/>
    <w:rsid w:val="00DA7905"/>
    <w:rsid w:val="00DA79A6"/>
    <w:rsid w:val="00DA7A77"/>
    <w:rsid w:val="00DA7CF7"/>
    <w:rsid w:val="00DA7E2A"/>
    <w:rsid w:val="00DA7EB8"/>
    <w:rsid w:val="00DA7F17"/>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1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432"/>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7FB"/>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C5"/>
    <w:rsid w:val="00DD23C6"/>
    <w:rsid w:val="00DD23C7"/>
    <w:rsid w:val="00DD24E3"/>
    <w:rsid w:val="00DD267F"/>
    <w:rsid w:val="00DD26DF"/>
    <w:rsid w:val="00DD27C8"/>
    <w:rsid w:val="00DD28CF"/>
    <w:rsid w:val="00DD2A42"/>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4A4"/>
    <w:rsid w:val="00DD772F"/>
    <w:rsid w:val="00DD774A"/>
    <w:rsid w:val="00DD7AE5"/>
    <w:rsid w:val="00DD7B1A"/>
    <w:rsid w:val="00DD7D5D"/>
    <w:rsid w:val="00DD7D7B"/>
    <w:rsid w:val="00DD7DD1"/>
    <w:rsid w:val="00DD7E7F"/>
    <w:rsid w:val="00DD7F17"/>
    <w:rsid w:val="00DE0011"/>
    <w:rsid w:val="00DE010F"/>
    <w:rsid w:val="00DE02EB"/>
    <w:rsid w:val="00DE04ED"/>
    <w:rsid w:val="00DE07D2"/>
    <w:rsid w:val="00DE07F0"/>
    <w:rsid w:val="00DE0853"/>
    <w:rsid w:val="00DE0880"/>
    <w:rsid w:val="00DE0947"/>
    <w:rsid w:val="00DE0C4B"/>
    <w:rsid w:val="00DE0CC9"/>
    <w:rsid w:val="00DE0E79"/>
    <w:rsid w:val="00DE0E91"/>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544"/>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3C3"/>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2D7"/>
    <w:rsid w:val="00DE7359"/>
    <w:rsid w:val="00DE74A9"/>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85"/>
    <w:rsid w:val="00DF32DA"/>
    <w:rsid w:val="00DF341A"/>
    <w:rsid w:val="00DF3471"/>
    <w:rsid w:val="00DF3534"/>
    <w:rsid w:val="00DF35C0"/>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6FCE"/>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E1"/>
    <w:rsid w:val="00E00AA2"/>
    <w:rsid w:val="00E00B0F"/>
    <w:rsid w:val="00E00BBD"/>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2F0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665"/>
    <w:rsid w:val="00E04917"/>
    <w:rsid w:val="00E04A32"/>
    <w:rsid w:val="00E04ADC"/>
    <w:rsid w:val="00E04AE6"/>
    <w:rsid w:val="00E04C77"/>
    <w:rsid w:val="00E04E36"/>
    <w:rsid w:val="00E04E75"/>
    <w:rsid w:val="00E0509B"/>
    <w:rsid w:val="00E0512F"/>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19"/>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77B"/>
    <w:rsid w:val="00E30876"/>
    <w:rsid w:val="00E308C8"/>
    <w:rsid w:val="00E30976"/>
    <w:rsid w:val="00E309DA"/>
    <w:rsid w:val="00E30C88"/>
    <w:rsid w:val="00E30D64"/>
    <w:rsid w:val="00E30E78"/>
    <w:rsid w:val="00E30F33"/>
    <w:rsid w:val="00E30FF7"/>
    <w:rsid w:val="00E31037"/>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9F"/>
    <w:rsid w:val="00E33ACF"/>
    <w:rsid w:val="00E33D0F"/>
    <w:rsid w:val="00E33D3D"/>
    <w:rsid w:val="00E33D4D"/>
    <w:rsid w:val="00E33F73"/>
    <w:rsid w:val="00E34049"/>
    <w:rsid w:val="00E340BB"/>
    <w:rsid w:val="00E34217"/>
    <w:rsid w:val="00E34266"/>
    <w:rsid w:val="00E34288"/>
    <w:rsid w:val="00E34452"/>
    <w:rsid w:val="00E34520"/>
    <w:rsid w:val="00E346EB"/>
    <w:rsid w:val="00E34CF0"/>
    <w:rsid w:val="00E34D1E"/>
    <w:rsid w:val="00E35340"/>
    <w:rsid w:val="00E35424"/>
    <w:rsid w:val="00E355C3"/>
    <w:rsid w:val="00E35C1C"/>
    <w:rsid w:val="00E36008"/>
    <w:rsid w:val="00E3631C"/>
    <w:rsid w:val="00E363B3"/>
    <w:rsid w:val="00E36559"/>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57"/>
    <w:rsid w:val="00E4474C"/>
    <w:rsid w:val="00E447FF"/>
    <w:rsid w:val="00E44BE8"/>
    <w:rsid w:val="00E44C8B"/>
    <w:rsid w:val="00E44CB0"/>
    <w:rsid w:val="00E44DF5"/>
    <w:rsid w:val="00E44E42"/>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3E5"/>
    <w:rsid w:val="00E478C5"/>
    <w:rsid w:val="00E479D3"/>
    <w:rsid w:val="00E479D8"/>
    <w:rsid w:val="00E47C6D"/>
    <w:rsid w:val="00E47D01"/>
    <w:rsid w:val="00E47D5D"/>
    <w:rsid w:val="00E47E4E"/>
    <w:rsid w:val="00E47E5E"/>
    <w:rsid w:val="00E50092"/>
    <w:rsid w:val="00E501FB"/>
    <w:rsid w:val="00E50258"/>
    <w:rsid w:val="00E502CF"/>
    <w:rsid w:val="00E50325"/>
    <w:rsid w:val="00E50407"/>
    <w:rsid w:val="00E505AC"/>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CA0"/>
    <w:rsid w:val="00E54D06"/>
    <w:rsid w:val="00E54D07"/>
    <w:rsid w:val="00E54D12"/>
    <w:rsid w:val="00E54D39"/>
    <w:rsid w:val="00E54DA3"/>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6FBD"/>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C"/>
    <w:rsid w:val="00E60A16"/>
    <w:rsid w:val="00E60BB8"/>
    <w:rsid w:val="00E60C74"/>
    <w:rsid w:val="00E60EC7"/>
    <w:rsid w:val="00E60F1F"/>
    <w:rsid w:val="00E61069"/>
    <w:rsid w:val="00E6106E"/>
    <w:rsid w:val="00E61118"/>
    <w:rsid w:val="00E61457"/>
    <w:rsid w:val="00E616CB"/>
    <w:rsid w:val="00E617B8"/>
    <w:rsid w:val="00E61851"/>
    <w:rsid w:val="00E61D5B"/>
    <w:rsid w:val="00E61EB1"/>
    <w:rsid w:val="00E620DA"/>
    <w:rsid w:val="00E6221E"/>
    <w:rsid w:val="00E6223E"/>
    <w:rsid w:val="00E62439"/>
    <w:rsid w:val="00E62488"/>
    <w:rsid w:val="00E624BE"/>
    <w:rsid w:val="00E624E3"/>
    <w:rsid w:val="00E625BD"/>
    <w:rsid w:val="00E625F1"/>
    <w:rsid w:val="00E627D7"/>
    <w:rsid w:val="00E627F3"/>
    <w:rsid w:val="00E62BFD"/>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C0"/>
    <w:rsid w:val="00E7500C"/>
    <w:rsid w:val="00E752F5"/>
    <w:rsid w:val="00E7535A"/>
    <w:rsid w:val="00E7537A"/>
    <w:rsid w:val="00E7538E"/>
    <w:rsid w:val="00E75659"/>
    <w:rsid w:val="00E757F6"/>
    <w:rsid w:val="00E75917"/>
    <w:rsid w:val="00E75B70"/>
    <w:rsid w:val="00E75DF0"/>
    <w:rsid w:val="00E76015"/>
    <w:rsid w:val="00E76105"/>
    <w:rsid w:val="00E761A1"/>
    <w:rsid w:val="00E763A7"/>
    <w:rsid w:val="00E7648C"/>
    <w:rsid w:val="00E7663B"/>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A0"/>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0FF0"/>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475"/>
    <w:rsid w:val="00EA46BA"/>
    <w:rsid w:val="00EA46CB"/>
    <w:rsid w:val="00EA46DE"/>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485"/>
    <w:rsid w:val="00EB572C"/>
    <w:rsid w:val="00EB574A"/>
    <w:rsid w:val="00EB5940"/>
    <w:rsid w:val="00EB5C3C"/>
    <w:rsid w:val="00EB5D6B"/>
    <w:rsid w:val="00EB5E0C"/>
    <w:rsid w:val="00EB60B1"/>
    <w:rsid w:val="00EB6275"/>
    <w:rsid w:val="00EB64FB"/>
    <w:rsid w:val="00EB665C"/>
    <w:rsid w:val="00EB6850"/>
    <w:rsid w:val="00EB6A8F"/>
    <w:rsid w:val="00EB6BFF"/>
    <w:rsid w:val="00EB6CC7"/>
    <w:rsid w:val="00EB6D2D"/>
    <w:rsid w:val="00EB6FC2"/>
    <w:rsid w:val="00EB70DB"/>
    <w:rsid w:val="00EB7189"/>
    <w:rsid w:val="00EB7295"/>
    <w:rsid w:val="00EB7318"/>
    <w:rsid w:val="00EB7725"/>
    <w:rsid w:val="00EB7BDD"/>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1F"/>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6E7"/>
    <w:rsid w:val="00ED075F"/>
    <w:rsid w:val="00ED079B"/>
    <w:rsid w:val="00ED09F7"/>
    <w:rsid w:val="00ED0B2D"/>
    <w:rsid w:val="00ED0C69"/>
    <w:rsid w:val="00ED0DD3"/>
    <w:rsid w:val="00ED0E48"/>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59"/>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52DC"/>
    <w:rsid w:val="00ED5303"/>
    <w:rsid w:val="00ED53C0"/>
    <w:rsid w:val="00ED5547"/>
    <w:rsid w:val="00ED5613"/>
    <w:rsid w:val="00ED561B"/>
    <w:rsid w:val="00ED56D1"/>
    <w:rsid w:val="00ED5A3B"/>
    <w:rsid w:val="00ED5A3C"/>
    <w:rsid w:val="00ED5C5B"/>
    <w:rsid w:val="00ED5E6D"/>
    <w:rsid w:val="00ED5E95"/>
    <w:rsid w:val="00ED6019"/>
    <w:rsid w:val="00ED609F"/>
    <w:rsid w:val="00ED61D0"/>
    <w:rsid w:val="00ED626D"/>
    <w:rsid w:val="00ED62E6"/>
    <w:rsid w:val="00ED6325"/>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973"/>
    <w:rsid w:val="00EE3BBF"/>
    <w:rsid w:val="00EE3C58"/>
    <w:rsid w:val="00EE3E9A"/>
    <w:rsid w:val="00EE44C3"/>
    <w:rsid w:val="00EE476E"/>
    <w:rsid w:val="00EE47CE"/>
    <w:rsid w:val="00EE4806"/>
    <w:rsid w:val="00EE4918"/>
    <w:rsid w:val="00EE494E"/>
    <w:rsid w:val="00EE49C2"/>
    <w:rsid w:val="00EE4AD4"/>
    <w:rsid w:val="00EE4CBC"/>
    <w:rsid w:val="00EE4F20"/>
    <w:rsid w:val="00EE5264"/>
    <w:rsid w:val="00EE5304"/>
    <w:rsid w:val="00EE56BC"/>
    <w:rsid w:val="00EE57DA"/>
    <w:rsid w:val="00EE57E1"/>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6F"/>
    <w:rsid w:val="00EF05CF"/>
    <w:rsid w:val="00EF094A"/>
    <w:rsid w:val="00EF0AE2"/>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74"/>
    <w:rsid w:val="00EF670E"/>
    <w:rsid w:val="00EF67AC"/>
    <w:rsid w:val="00EF6DC1"/>
    <w:rsid w:val="00EF6E05"/>
    <w:rsid w:val="00EF6F98"/>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D21"/>
    <w:rsid w:val="00F04E4B"/>
    <w:rsid w:val="00F04E7E"/>
    <w:rsid w:val="00F04EFF"/>
    <w:rsid w:val="00F04F7F"/>
    <w:rsid w:val="00F05015"/>
    <w:rsid w:val="00F05038"/>
    <w:rsid w:val="00F05109"/>
    <w:rsid w:val="00F05341"/>
    <w:rsid w:val="00F05534"/>
    <w:rsid w:val="00F055B9"/>
    <w:rsid w:val="00F0576D"/>
    <w:rsid w:val="00F05A99"/>
    <w:rsid w:val="00F05B49"/>
    <w:rsid w:val="00F05CC9"/>
    <w:rsid w:val="00F05D26"/>
    <w:rsid w:val="00F05EAC"/>
    <w:rsid w:val="00F05F7E"/>
    <w:rsid w:val="00F06230"/>
    <w:rsid w:val="00F06590"/>
    <w:rsid w:val="00F0677E"/>
    <w:rsid w:val="00F0679E"/>
    <w:rsid w:val="00F06858"/>
    <w:rsid w:val="00F06884"/>
    <w:rsid w:val="00F06E7A"/>
    <w:rsid w:val="00F070E9"/>
    <w:rsid w:val="00F0749F"/>
    <w:rsid w:val="00F074B0"/>
    <w:rsid w:val="00F0751A"/>
    <w:rsid w:val="00F075CC"/>
    <w:rsid w:val="00F076BB"/>
    <w:rsid w:val="00F079A5"/>
    <w:rsid w:val="00F07A9F"/>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4B5"/>
    <w:rsid w:val="00F12867"/>
    <w:rsid w:val="00F129FB"/>
    <w:rsid w:val="00F12D0C"/>
    <w:rsid w:val="00F131D0"/>
    <w:rsid w:val="00F135B9"/>
    <w:rsid w:val="00F138F3"/>
    <w:rsid w:val="00F13939"/>
    <w:rsid w:val="00F13977"/>
    <w:rsid w:val="00F13A6A"/>
    <w:rsid w:val="00F13F8F"/>
    <w:rsid w:val="00F140A0"/>
    <w:rsid w:val="00F14238"/>
    <w:rsid w:val="00F14387"/>
    <w:rsid w:val="00F14430"/>
    <w:rsid w:val="00F1448E"/>
    <w:rsid w:val="00F145BE"/>
    <w:rsid w:val="00F14719"/>
    <w:rsid w:val="00F148C3"/>
    <w:rsid w:val="00F14CF9"/>
    <w:rsid w:val="00F14DAE"/>
    <w:rsid w:val="00F14E2C"/>
    <w:rsid w:val="00F14EF9"/>
    <w:rsid w:val="00F150F6"/>
    <w:rsid w:val="00F15164"/>
    <w:rsid w:val="00F152DB"/>
    <w:rsid w:val="00F1540D"/>
    <w:rsid w:val="00F1554E"/>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4BB"/>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365"/>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299"/>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1C"/>
    <w:rsid w:val="00F27095"/>
    <w:rsid w:val="00F270B9"/>
    <w:rsid w:val="00F2714D"/>
    <w:rsid w:val="00F271B1"/>
    <w:rsid w:val="00F273AB"/>
    <w:rsid w:val="00F27493"/>
    <w:rsid w:val="00F27541"/>
    <w:rsid w:val="00F279D6"/>
    <w:rsid w:val="00F27A78"/>
    <w:rsid w:val="00F27D5F"/>
    <w:rsid w:val="00F27D8D"/>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AD"/>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B90"/>
    <w:rsid w:val="00F44B9F"/>
    <w:rsid w:val="00F44BD9"/>
    <w:rsid w:val="00F44D6F"/>
    <w:rsid w:val="00F45075"/>
    <w:rsid w:val="00F45118"/>
    <w:rsid w:val="00F451C2"/>
    <w:rsid w:val="00F453F6"/>
    <w:rsid w:val="00F454BE"/>
    <w:rsid w:val="00F4557E"/>
    <w:rsid w:val="00F45707"/>
    <w:rsid w:val="00F459BF"/>
    <w:rsid w:val="00F45A36"/>
    <w:rsid w:val="00F45A81"/>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C3E"/>
    <w:rsid w:val="00F57CF0"/>
    <w:rsid w:val="00F57DF8"/>
    <w:rsid w:val="00F6007A"/>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3F75"/>
    <w:rsid w:val="00F7412F"/>
    <w:rsid w:val="00F74633"/>
    <w:rsid w:val="00F74757"/>
    <w:rsid w:val="00F7481E"/>
    <w:rsid w:val="00F74874"/>
    <w:rsid w:val="00F74912"/>
    <w:rsid w:val="00F74BAC"/>
    <w:rsid w:val="00F74D02"/>
    <w:rsid w:val="00F74F3B"/>
    <w:rsid w:val="00F75031"/>
    <w:rsid w:val="00F7522B"/>
    <w:rsid w:val="00F75655"/>
    <w:rsid w:val="00F75832"/>
    <w:rsid w:val="00F75B37"/>
    <w:rsid w:val="00F76186"/>
    <w:rsid w:val="00F7641D"/>
    <w:rsid w:val="00F764E4"/>
    <w:rsid w:val="00F76574"/>
    <w:rsid w:val="00F765FE"/>
    <w:rsid w:val="00F767DE"/>
    <w:rsid w:val="00F768BF"/>
    <w:rsid w:val="00F768EC"/>
    <w:rsid w:val="00F769DE"/>
    <w:rsid w:val="00F76A8D"/>
    <w:rsid w:val="00F76BB0"/>
    <w:rsid w:val="00F76E6E"/>
    <w:rsid w:val="00F76FAF"/>
    <w:rsid w:val="00F77065"/>
    <w:rsid w:val="00F77283"/>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3E5"/>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7B1"/>
    <w:rsid w:val="00F90A6A"/>
    <w:rsid w:val="00F90AD0"/>
    <w:rsid w:val="00F90CB3"/>
    <w:rsid w:val="00F90CF0"/>
    <w:rsid w:val="00F90E82"/>
    <w:rsid w:val="00F90EC6"/>
    <w:rsid w:val="00F90F09"/>
    <w:rsid w:val="00F9115B"/>
    <w:rsid w:val="00F91188"/>
    <w:rsid w:val="00F91213"/>
    <w:rsid w:val="00F912A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72"/>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36"/>
    <w:rsid w:val="00FA237C"/>
    <w:rsid w:val="00FA2385"/>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E31"/>
    <w:rsid w:val="00FA4F39"/>
    <w:rsid w:val="00FA4FE8"/>
    <w:rsid w:val="00FA508A"/>
    <w:rsid w:val="00FA5330"/>
    <w:rsid w:val="00FA5392"/>
    <w:rsid w:val="00FA53EB"/>
    <w:rsid w:val="00FA54E4"/>
    <w:rsid w:val="00FA5B1E"/>
    <w:rsid w:val="00FA5B69"/>
    <w:rsid w:val="00FA6285"/>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C87"/>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8CE"/>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BF7"/>
    <w:rsid w:val="00FE6C4C"/>
    <w:rsid w:val="00FE6D91"/>
    <w:rsid w:val="00FE6DBA"/>
    <w:rsid w:val="00FE6DC1"/>
    <w:rsid w:val="00FE6E43"/>
    <w:rsid w:val="00FE713F"/>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AED"/>
    <w:rsid w:val="00FF0B5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3FC"/>
    <w:rsid w:val="00FF440A"/>
    <w:rsid w:val="00FF4916"/>
    <w:rsid w:val="00FF4943"/>
    <w:rsid w:val="00FF49A8"/>
    <w:rsid w:val="00FF4F2B"/>
    <w:rsid w:val="00FF4FA2"/>
    <w:rsid w:val="00FF52BA"/>
    <w:rsid w:val="00FF52D6"/>
    <w:rsid w:val="00FF52DF"/>
    <w:rsid w:val="00FF52F8"/>
    <w:rsid w:val="00FF549C"/>
    <w:rsid w:val="00FF55EC"/>
    <w:rsid w:val="00FF5897"/>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61D53B"/>
  <w15:docId w15:val="{8AE85C01-C7E7-45EF-8426-5F961A8B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qFormat="1"/>
    <w:lsdException w:name="footnote text" w:locked="1" w:semiHidden="1" w:unhideWhenUsed="1" w:qFormat="1"/>
    <w:lsdException w:name="annotation text" w:locked="1" w:semiHidden="1" w:uiPriority="0" w:unhideWhenUsed="1"/>
    <w:lsdException w:name="header" w:locked="1" w:semiHidden="1" w:uiPriority="0" w:unhideWhenUsed="1" w:qFormat="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numPr>
        <w:numId w:val="9"/>
      </w:numPr>
      <w:outlineLvl w:val="0"/>
    </w:pPr>
    <w:rPr>
      <w:rFonts w:ascii="Times Armenian" w:hAnsi="Times Armenian"/>
      <w:b/>
      <w:i/>
      <w:sz w:val="28"/>
      <w:szCs w:val="20"/>
    </w:rPr>
  </w:style>
  <w:style w:type="paragraph" w:styleId="Heading2">
    <w:name w:val="heading 2"/>
    <w:basedOn w:val="Normal"/>
    <w:next w:val="Normal"/>
    <w:link w:val="Heading2Char"/>
    <w:qFormat/>
    <w:rsid w:val="00DF6640"/>
    <w:pPr>
      <w:keepNext/>
      <w:spacing w:before="360" w:after="240"/>
      <w:jc w:val="both"/>
      <w:outlineLvl w:val="1"/>
    </w:pPr>
    <w:rPr>
      <w:rFonts w:ascii="GHEA Grapalat" w:hAnsi="GHEA Grapalat"/>
      <w:b/>
      <w:sz w:val="22"/>
      <w:szCs w:val="22"/>
      <w:lang w:val="de-AT"/>
    </w:rPr>
  </w:style>
  <w:style w:type="paragraph" w:styleId="Heading3">
    <w:name w:val="heading 3"/>
    <w:basedOn w:val="Normal"/>
    <w:next w:val="Normal"/>
    <w:link w:val="Heading3Char1"/>
    <w:uiPriority w:val="9"/>
    <w:qFormat/>
    <w:rsid w:val="000B54DE"/>
    <w:pPr>
      <w:keepNext/>
      <w:spacing w:before="240" w:after="240"/>
      <w:outlineLvl w:val="2"/>
    </w:pPr>
    <w:rPr>
      <w:rFonts w:ascii="GHEA Grapalat" w:hAnsi="GHEA Grapalat"/>
      <w:b/>
      <w:szCs w:val="20"/>
    </w:rPr>
  </w:style>
  <w:style w:type="paragraph" w:styleId="Heading4">
    <w:name w:val="heading 4"/>
    <w:basedOn w:val="CM4"/>
    <w:next w:val="Normal"/>
    <w:link w:val="Heading4Char2"/>
    <w:uiPriority w:val="9"/>
    <w:qFormat/>
    <w:rsid w:val="00532AB3"/>
    <w:pPr>
      <w:widowControl/>
      <w:autoSpaceDE/>
      <w:autoSpaceDN/>
      <w:adjustRightInd/>
      <w:spacing w:after="200" w:line="276" w:lineRule="auto"/>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numPr>
        <w:ilvl w:val="4"/>
        <w:numId w:val="9"/>
      </w:numPr>
      <w:spacing w:line="360" w:lineRule="auto"/>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numPr>
        <w:ilvl w:val="5"/>
        <w:numId w:val="9"/>
      </w:numPr>
      <w:spacing w:line="360" w:lineRule="auto"/>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numPr>
        <w:ilvl w:val="6"/>
        <w:numId w:val="9"/>
      </w:numPr>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numPr>
        <w:ilvl w:val="7"/>
        <w:numId w:val="9"/>
      </w:numPr>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numPr>
        <w:ilvl w:val="8"/>
        <w:numId w:val="9"/>
      </w:num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noProof/>
      <w:sz w:val="24"/>
      <w:szCs w:val="24"/>
      <w:u w:val="single"/>
      <w:lang w:val="hy-AM"/>
    </w:rPr>
  </w:style>
  <w:style w:type="character" w:customStyle="1" w:styleId="Heading7Char">
    <w:name w:val="Heading 7 Char"/>
    <w:link w:val="Heading7"/>
    <w:uiPriority w:val="99"/>
    <w:locked/>
    <w:rsid w:val="002D4A3F"/>
    <w:rPr>
      <w:rFonts w:ascii="Times Armenian" w:hAnsi="Times Armenian"/>
      <w:b/>
      <w:bCs/>
      <w:noProof/>
      <w:sz w:val="24"/>
      <w:szCs w:val="24"/>
      <w:u w:val="single"/>
      <w:lang w:val="hy-AM"/>
    </w:rPr>
  </w:style>
  <w:style w:type="character" w:customStyle="1" w:styleId="Heading8Char">
    <w:name w:val="Heading 8 Char"/>
    <w:link w:val="Heading8"/>
    <w:uiPriority w:val="99"/>
    <w:locked/>
    <w:rsid w:val="002D4A3F"/>
    <w:rPr>
      <w:rFonts w:ascii="Times Armenian" w:hAnsi="Times Armenian"/>
      <w:b/>
      <w:bCs/>
      <w:noProof/>
      <w:szCs w:val="24"/>
      <w:lang w:val="hy-AM"/>
    </w:rPr>
  </w:style>
  <w:style w:type="character" w:customStyle="1" w:styleId="Heading9Char">
    <w:name w:val="Heading 9 Char"/>
    <w:link w:val="Heading9"/>
    <w:uiPriority w:val="99"/>
    <w:locked/>
    <w:rsid w:val="002D4A3F"/>
    <w:rPr>
      <w:sz w:val="22"/>
      <w:lang w:val="en-GB"/>
    </w:rPr>
  </w:style>
  <w:style w:type="character" w:customStyle="1" w:styleId="Heading3Char1">
    <w:name w:val="Heading 3 Char1"/>
    <w:link w:val="Heading3"/>
    <w:uiPriority w:val="9"/>
    <w:locked/>
    <w:rsid w:val="000B54DE"/>
    <w:rPr>
      <w:rFonts w:ascii="GHEA Grapalat" w:hAnsi="GHEA Grapalat"/>
      <w:b/>
      <w:noProof/>
      <w:sz w:val="24"/>
      <w:lang w:val="hy-AM"/>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0">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0"/>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0"/>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1">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0"/>
    <w:uiPriority w:val="99"/>
    <w:qFormat/>
    <w:rsid w:val="002D4A3F"/>
    <w:pPr>
      <w:ind w:firstLine="360"/>
      <w:jc w:val="both"/>
    </w:pPr>
    <w:rPr>
      <w:rFonts w:ascii="Times Armenian" w:hAnsi="Times Armenian"/>
      <w:lang w:val="af-ZA"/>
    </w:rPr>
  </w:style>
  <w:style w:type="paragraph" w:customStyle="1" w:styleId="a2">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0"/>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rsid w:val="0094390C"/>
    <w:rPr>
      <w:sz w:val="20"/>
      <w:szCs w:val="20"/>
    </w:rPr>
  </w:style>
  <w:style w:type="character" w:customStyle="1" w:styleId="CommentTextChar">
    <w:name w:val="Comment Text Char"/>
    <w:link w:val="CommentText"/>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3">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4">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4"/>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
    <w:locked/>
    <w:rsid w:val="002D4A3F"/>
    <w:rPr>
      <w:rFonts w:ascii="Times Armenian" w:hAnsi="Times Armenian"/>
      <w:b/>
      <w:i/>
      <w:noProof/>
      <w:sz w:val="28"/>
      <w:lang w:val="hy-AM"/>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0"/>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link w:val="Heading4"/>
    <w:uiPriority w:val="9"/>
    <w:locked/>
    <w:rsid w:val="0084243F"/>
    <w:rPr>
      <w:rFonts w:ascii="GHEA Grapalat" w:hAnsi="GHEA Grapalat"/>
      <w:b/>
      <w:i/>
      <w:sz w:val="22"/>
      <w:szCs w:val="22"/>
      <w:lang w:val="de-AT"/>
    </w:rPr>
  </w:style>
  <w:style w:type="character" w:customStyle="1" w:styleId="Heading5Char2">
    <w:name w:val="Heading 5 Char2"/>
    <w:aliases w:val="Side Char1"/>
    <w:link w:val="Heading5"/>
    <w:uiPriority w:val="9"/>
    <w:locked/>
    <w:rsid w:val="002D4A3F"/>
    <w:rPr>
      <w:rFonts w:ascii="Times Armenian" w:hAnsi="Times Armenian"/>
      <w:b/>
      <w:sz w:val="24"/>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6">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7">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8">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9">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a">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b">
    <w:name w:val="Գծապատկեր"/>
    <w:basedOn w:val="Normal"/>
    <w:link w:val="Char0"/>
    <w:autoRedefine/>
    <w:qFormat/>
    <w:rsid w:val="00DE0E91"/>
    <w:pPr>
      <w:keepNext/>
      <w:keepLines/>
      <w:tabs>
        <w:tab w:val="left" w:pos="0"/>
        <w:tab w:val="left" w:pos="284"/>
        <w:tab w:val="left" w:pos="1276"/>
        <w:tab w:val="left" w:pos="1888"/>
      </w:tabs>
      <w:autoSpaceDE w:val="0"/>
      <w:autoSpaceDN w:val="0"/>
      <w:adjustRightInd w:val="0"/>
      <w:spacing w:line="276" w:lineRule="auto"/>
      <w:ind w:left="39"/>
    </w:pPr>
    <w:rPr>
      <w:rFonts w:ascii="GHEA Grapalat" w:eastAsia="GHEA Grapalat" w:hAnsi="GHEA Grapalat" w:cs="GHEA Grapalat"/>
      <w:b/>
      <w:noProof w:val="0"/>
      <w:sz w:val="18"/>
      <w:szCs w:val="18"/>
    </w:rPr>
  </w:style>
  <w:style w:type="character" w:customStyle="1" w:styleId="Char0">
    <w:name w:val="Գծապատկեր Char"/>
    <w:link w:val="ab"/>
    <w:locked/>
    <w:rsid w:val="00DE0E91"/>
    <w:rPr>
      <w:rFonts w:ascii="GHEA Grapalat" w:eastAsia="GHEA Grapalat" w:hAnsi="GHEA Grapalat" w:cs="GHEA Grapalat"/>
      <w:b/>
      <w:sz w:val="18"/>
      <w:szCs w:val="18"/>
      <w:lang w:val="hy-AM"/>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uiPriority w:val="39"/>
    <w:rsid w:val="00FC2F7D"/>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uiPriority w:val="39"/>
    <w:rsid w:val="00FC2F7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6"/>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3">
    <w:name w:val="Unresolved Mention3"/>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7"/>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11">
    <w:name w:val="List Table 4 - Accent 11"/>
    <w:basedOn w:val="TableNormal"/>
    <w:uiPriority w:val="49"/>
    <w:rsid w:val="00400A22"/>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Heading31">
    <w:name w:val="Heading 31"/>
    <w:basedOn w:val="Heading3"/>
    <w:link w:val="heading3Char0"/>
    <w:qFormat/>
    <w:rsid w:val="006B14D5"/>
    <w:pPr>
      <w:keepLines/>
      <w:numPr>
        <w:ilvl w:val="2"/>
        <w:numId w:val="10"/>
      </w:numPr>
      <w:spacing w:before="0" w:line="259" w:lineRule="auto"/>
    </w:pPr>
    <w:rPr>
      <w:rFonts w:eastAsiaTheme="majorEastAsia" w:cstheme="majorBidi"/>
      <w:i/>
      <w:noProof w:val="0"/>
      <w:szCs w:val="24"/>
      <w:lang w:val="en-US"/>
    </w:rPr>
  </w:style>
  <w:style w:type="character" w:customStyle="1" w:styleId="heading3Char0">
    <w:name w:val="heading 3 Char"/>
    <w:basedOn w:val="Heading3Char1"/>
    <w:link w:val="Heading31"/>
    <w:rsid w:val="006B14D5"/>
    <w:rPr>
      <w:rFonts w:ascii="GHEA Grapalat" w:eastAsiaTheme="majorEastAsia" w:hAnsi="GHEA Grapalat" w:cstheme="majorBidi"/>
      <w:b/>
      <w:i/>
      <w:noProof/>
      <w:sz w:val="24"/>
      <w:szCs w:val="24"/>
      <w:u w:val="single"/>
      <w:lang w:val="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22758817">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21899726">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4313590">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header" Target="header1.xml"/><Relationship Id="rId5" Type="http://schemas.openxmlformats.org/officeDocument/2006/relationships/webSettings" Target="webSettings.xml"/><Relationship Id="rId61" Type="http://schemas.microsoft.com/office/2016/09/relationships/commentsIds" Target="commentsIds.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20" Type="http://schemas.openxmlformats.org/officeDocument/2006/relationships/chart" Target="charts/chart13.xml"/><Relationship Id="rId41" Type="http://schemas.openxmlformats.org/officeDocument/2006/relationships/chart" Target="charts/chart34.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microsoft.com/office/2018/08/relationships/commentsExtensible" Target="commentsExtensible.xml"/></Relationships>
</file>

<file path=word/_rels/footnotes.xml.rels><?xml version="1.0" encoding="UTF-8" standalone="yes"?>
<Relationships xmlns="http://schemas.openxmlformats.org/package/2006/relationships"><Relationship Id="rId8" Type="http://schemas.openxmlformats.org/officeDocument/2006/relationships/hyperlink" Target="https://www.fao.org/worldfoodsituation/foodpricesindex/en/" TargetMode="External"/><Relationship Id="rId3" Type="http://schemas.openxmlformats.org/officeDocument/2006/relationships/hyperlink" Target="http://www.stats.gov.cn/" TargetMode="External"/><Relationship Id="rId7" Type="http://schemas.openxmlformats.org/officeDocument/2006/relationships/hyperlink" Target="https://www.worldbank.org/en/research/commodity-markets"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5" Type="http://schemas.openxmlformats.org/officeDocument/2006/relationships/hyperlink" Target="https://www.worldbank.org/en/research/commodity-markets" TargetMode="External"/><Relationship Id="rId10" Type="http://schemas.openxmlformats.org/officeDocument/2006/relationships/hyperlink" Target="1.10.&#1359;&#1381;&#1394;&#1381;&#1391;&#1377;&#1398;&#1412;&#1398;&#1381;&#1408;/13.&#1337;&#1400;&#1394;&#1377;&#1408;&#1391;&#1396;&#1377;&#1398;%20&#1390;&#1377;&#1406;&#1377;&#1388;,%20&#1377;&#1408;&#1407;&#1377;&#1392;&#1377;&#1398;&#1400;&#1410;&#1396;,%20&#1398;&#1381;&#1408;&#1396;&#1400;&#1410;&#1390;&#1400;&#1410;&#1396;.docx" TargetMode="External"/><Relationship Id="rId4" Type="http://schemas.openxmlformats.org/officeDocument/2006/relationships/hyperlink" Target="https://economy.gov.ru/" TargetMode="External"/><Relationship Id="rId9" Type="http://schemas.openxmlformats.org/officeDocument/2006/relationships/hyperlink" Target="1.10.&#1359;&#1381;&#1394;&#1381;&#1391;&#1377;&#1398;&#1412;&#1398;&#1381;&#1408;/13.&#1337;&#1400;&#1394;&#1377;&#1408;&#1391;&#1396;&#1377;&#1398;%20&#1390;&#1377;&#1406;&#1377;&#1388;,%20&#1377;&#1408;&#1407;&#1377;&#1392;&#1377;&#1398;&#1400;&#1410;&#1396;,%20&#1398;&#1381;&#1408;&#1396;&#1400;&#1410;&#1390;&#1400;&#1410;&#1396;.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xml"/><Relationship Id="rId1" Type="http://schemas.microsoft.com/office/2011/relationships/chartStyle" Target="style3.xm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4.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lumMod val="50000"/>
              </a:srgbClr>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General</c:formatCode>
                <c:ptCount val="5"/>
                <c:pt idx="0">
                  <c:v>-2.8</c:v>
                </c:pt>
                <c:pt idx="1">
                  <c:v>6.1</c:v>
                </c:pt>
                <c:pt idx="2">
                  <c:v>2.5</c:v>
                </c:pt>
                <c:pt idx="3">
                  <c:v>2.9</c:v>
                </c:pt>
                <c:pt idx="4">
                  <c:v>2.8</c:v>
                </c:pt>
              </c:numCache>
            </c:numRef>
          </c:val>
          <c:extLst>
            <c:ext xmlns:c16="http://schemas.microsoft.com/office/drawing/2014/chart" uri="{C3380CC4-5D6E-409C-BE32-E72D297353CC}">
              <c16:uniqueId val="{00000000-C17F-4A93-8FD1-B7D9200C096A}"/>
            </c:ext>
          </c:extLst>
        </c:ser>
        <c:ser>
          <c:idx val="1"/>
          <c:order val="1"/>
          <c:tx>
            <c:strRef>
              <c:f>Sheet1!$C$1</c:f>
              <c:strCache>
                <c:ptCount val="1"/>
                <c:pt idx="0">
                  <c:v>ԵԳ</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General</c:formatCode>
                <c:ptCount val="5"/>
                <c:pt idx="0">
                  <c:v>-6.1</c:v>
                </c:pt>
                <c:pt idx="1">
                  <c:v>6.3</c:v>
                </c:pt>
                <c:pt idx="2">
                  <c:v>3.5</c:v>
                </c:pt>
                <c:pt idx="3">
                  <c:v>0.4</c:v>
                </c:pt>
                <c:pt idx="4">
                  <c:v>0.9</c:v>
                </c:pt>
              </c:numCache>
            </c:numRef>
          </c:val>
          <c:extLst>
            <c:ext xmlns:c16="http://schemas.microsoft.com/office/drawing/2014/chart" uri="{C3380CC4-5D6E-409C-BE32-E72D297353CC}">
              <c16:uniqueId val="{00000001-C17F-4A93-8FD1-B7D9200C096A}"/>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General</c:formatCode>
                <c:ptCount val="5"/>
                <c:pt idx="0">
                  <c:v>2.2000000000000002</c:v>
                </c:pt>
                <c:pt idx="1">
                  <c:v>8.1</c:v>
                </c:pt>
                <c:pt idx="2" formatCode="0.0">
                  <c:v>3</c:v>
                </c:pt>
                <c:pt idx="3">
                  <c:v>5.2</c:v>
                </c:pt>
                <c:pt idx="4" formatCode="0.0">
                  <c:v>5</c:v>
                </c:pt>
              </c:numCache>
            </c:numRef>
          </c:val>
          <c:extLst>
            <c:ext xmlns:c16="http://schemas.microsoft.com/office/drawing/2014/chart" uri="{C3380CC4-5D6E-409C-BE32-E72D297353CC}">
              <c16:uniqueId val="{00000002-C17F-4A93-8FD1-B7D9200C096A}"/>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Sheet1!$E$2:$E$8</c:f>
              <c:numCache>
                <c:formatCode>General</c:formatCode>
                <c:ptCount val="5"/>
                <c:pt idx="0">
                  <c:v>-2.7</c:v>
                </c:pt>
                <c:pt idx="1">
                  <c:v>5.9</c:v>
                </c:pt>
                <c:pt idx="2">
                  <c:v>-1.2</c:v>
                </c:pt>
                <c:pt idx="3">
                  <c:v>4.0999999999999996</c:v>
                </c:pt>
                <c:pt idx="4">
                  <c:v>4.0999999999999996</c:v>
                </c:pt>
              </c:numCache>
            </c:numRef>
          </c:val>
          <c:extLst>
            <c:ext xmlns:c16="http://schemas.microsoft.com/office/drawing/2014/chart" uri="{C3380CC4-5D6E-409C-BE32-E72D297353CC}">
              <c16:uniqueId val="{00000003-C17F-4A93-8FD1-B7D9200C096A}"/>
            </c:ext>
          </c:extLst>
        </c:ser>
        <c:dLbls>
          <c:showLegendKey val="0"/>
          <c:showVal val="0"/>
          <c:showCatName val="0"/>
          <c:showSerName val="0"/>
          <c:showPercent val="0"/>
          <c:showBubbleSize val="0"/>
        </c:dLbls>
        <c:gapWidth val="219"/>
        <c:overlap val="-27"/>
        <c:axId val="1913054992"/>
        <c:axId val="1913059344"/>
      </c:barChart>
      <c:catAx>
        <c:axId val="191305499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344"/>
        <c:crosses val="autoZero"/>
        <c:auto val="1"/>
        <c:lblAlgn val="ctr"/>
        <c:lblOffset val="100"/>
        <c:noMultiLvlLbl val="0"/>
      </c:catAx>
      <c:valAx>
        <c:axId val="19130593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499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7565654669577846"/>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19.299999999999997</c:v>
                </c:pt>
                <c:pt idx="1">
                  <c:v>37.300000000000011</c:v>
                </c:pt>
                <c:pt idx="2">
                  <c:v>30.900000000000006</c:v>
                </c:pt>
                <c:pt idx="3">
                  <c:v>16.599999999999994</c:v>
                </c:pt>
                <c:pt idx="4">
                  <c:v>6.9000000000000057</c:v>
                </c:pt>
                <c:pt idx="5">
                  <c:v>1.2999999999999972</c:v>
                </c:pt>
                <c:pt idx="6">
                  <c:v>2.2000000000000028</c:v>
                </c:pt>
                <c:pt idx="7">
                  <c:v>2.0999999999999943</c:v>
                </c:pt>
                <c:pt idx="8">
                  <c:v>4.5999999999999943</c:v>
                </c:pt>
                <c:pt idx="9">
                  <c:v>5.2999999999999972</c:v>
                </c:pt>
                <c:pt idx="10">
                  <c:v>-19</c:v>
                </c:pt>
                <c:pt idx="11">
                  <c:v>-14.799999999999997</c:v>
                </c:pt>
              </c:numCache>
            </c:numRef>
          </c:val>
          <c:extLst>
            <c:ext xmlns:c16="http://schemas.microsoft.com/office/drawing/2014/chart" uri="{C3380CC4-5D6E-409C-BE32-E72D297353CC}">
              <c16:uniqueId val="{00000000-8779-459B-9B15-D21F1B40D3E9}"/>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9.5</c:v>
                </c:pt>
                <c:pt idx="1">
                  <c:v>11.700000000000003</c:v>
                </c:pt>
                <c:pt idx="2">
                  <c:v>13.099999999999994</c:v>
                </c:pt>
                <c:pt idx="3">
                  <c:v>17.799999999999997</c:v>
                </c:pt>
                <c:pt idx="4">
                  <c:v>18.099999999999994</c:v>
                </c:pt>
                <c:pt idx="5">
                  <c:v>18</c:v>
                </c:pt>
                <c:pt idx="6">
                  <c:v>17.700000000000003</c:v>
                </c:pt>
                <c:pt idx="7">
                  <c:v>16.5</c:v>
                </c:pt>
                <c:pt idx="8">
                  <c:v>14.700000000000003</c:v>
                </c:pt>
                <c:pt idx="9">
                  <c:v>13.5</c:v>
                </c:pt>
                <c:pt idx="10">
                  <c:v>11.599999999999994</c:v>
                </c:pt>
                <c:pt idx="11">
                  <c:v>12.900000000000006</c:v>
                </c:pt>
              </c:numCache>
            </c:numRef>
          </c:val>
          <c:extLst>
            <c:ext xmlns:c16="http://schemas.microsoft.com/office/drawing/2014/chart" uri="{C3380CC4-5D6E-409C-BE32-E72D297353CC}">
              <c16:uniqueId val="{00000001-8779-459B-9B15-D21F1B40D3E9}"/>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7.2999999999999972</c:v>
                </c:pt>
                <c:pt idx="1">
                  <c:v>8.5</c:v>
                </c:pt>
                <c:pt idx="2">
                  <c:v>5.7999999999999972</c:v>
                </c:pt>
                <c:pt idx="3">
                  <c:v>8.5999999999999943</c:v>
                </c:pt>
                <c:pt idx="4">
                  <c:v>7.0999999999999943</c:v>
                </c:pt>
                <c:pt idx="5">
                  <c:v>10.200000000000003</c:v>
                </c:pt>
                <c:pt idx="6">
                  <c:v>8.5</c:v>
                </c:pt>
                <c:pt idx="7">
                  <c:v>13.400000000000006</c:v>
                </c:pt>
                <c:pt idx="8">
                  <c:v>15</c:v>
                </c:pt>
                <c:pt idx="9">
                  <c:v>8.7000000000000028</c:v>
                </c:pt>
                <c:pt idx="10">
                  <c:v>12.299999999999997</c:v>
                </c:pt>
                <c:pt idx="11">
                  <c:v>19.400000000000006</c:v>
                </c:pt>
              </c:numCache>
            </c:numRef>
          </c:val>
          <c:extLst>
            <c:ext xmlns:c16="http://schemas.microsoft.com/office/drawing/2014/chart" uri="{C3380CC4-5D6E-409C-BE32-E72D297353CC}">
              <c16:uniqueId val="{00000002-8779-459B-9B15-D21F1B40D3E9}"/>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19.299999999999997</c:v>
                </c:pt>
                <c:pt idx="1">
                  <c:v>28.300000000000011</c:v>
                </c:pt>
                <c:pt idx="2">
                  <c:v>30.400000000000006</c:v>
                </c:pt>
                <c:pt idx="3">
                  <c:v>27.200000000000003</c:v>
                </c:pt>
                <c:pt idx="4">
                  <c:v>17.599999999999994</c:v>
                </c:pt>
                <c:pt idx="5">
                  <c:v>16.200000000000003</c:v>
                </c:pt>
                <c:pt idx="6">
                  <c:v>14</c:v>
                </c:pt>
                <c:pt idx="7">
                  <c:v>14.900000000000006</c:v>
                </c:pt>
                <c:pt idx="8">
                  <c:v>13.400000000000006</c:v>
                </c:pt>
                <c:pt idx="9">
                  <c:v>13.700000000000003</c:v>
                </c:pt>
                <c:pt idx="10">
                  <c:v>11.5</c:v>
                </c:pt>
                <c:pt idx="11">
                  <c:v>10.299999999999997</c:v>
                </c:pt>
              </c:numCache>
            </c:numRef>
          </c:val>
          <c:extLst>
            <c:ext xmlns:c16="http://schemas.microsoft.com/office/drawing/2014/chart" uri="{C3380CC4-5D6E-409C-BE32-E72D297353CC}">
              <c16:uniqueId val="{00000003-8779-459B-9B15-D21F1B40D3E9}"/>
            </c:ext>
          </c:extLst>
        </c:ser>
        <c:dLbls>
          <c:showLegendKey val="0"/>
          <c:showVal val="0"/>
          <c:showCatName val="0"/>
          <c:showSerName val="0"/>
          <c:showPercent val="0"/>
          <c:showBubbleSize val="0"/>
        </c:dLbls>
        <c:gapWidth val="146"/>
        <c:overlap val="16"/>
        <c:axId val="432423424"/>
        <c:axId val="339948032"/>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8.3054310179267968E-2"/>
                  <c:y val="-3.788579115210390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779-459B-9B15-D21F1B40D3E9}"/>
                </c:ext>
              </c:extLst>
            </c:dLbl>
            <c:dLbl>
              <c:idx val="1"/>
              <c:layout>
                <c:manualLayout>
                  <c:x val="-6.615431481493747E-2"/>
                  <c:y val="-3.93185351564955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779-459B-9B15-D21F1B40D3E9}"/>
                </c:ext>
              </c:extLst>
            </c:dLbl>
            <c:dLbl>
              <c:idx val="2"/>
              <c:layout>
                <c:manualLayout>
                  <c:x val="-5.7582630808659434E-2"/>
                  <c:y val="-3.139465203890493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779-459B-9B15-D21F1B40D3E9}"/>
                </c:ext>
              </c:extLst>
            </c:dLbl>
            <c:dLbl>
              <c:idx val="3"/>
              <c:layout>
                <c:manualLayout>
                  <c:x val="-4.504678714992421E-2"/>
                  <c:y val="-2.7249793616138589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779-459B-9B15-D21F1B40D3E9}"/>
                </c:ext>
              </c:extLst>
            </c:dLbl>
            <c:dLbl>
              <c:idx val="4"/>
              <c:layout>
                <c:manualLayout>
                  <c:x val="-7.4401751914708367E-2"/>
                  <c:y val="-5.6112878869593354E-2"/>
                </c:manualLayout>
              </c:layout>
              <c:spPr>
                <a:noFill/>
                <a:ln>
                  <a:noFill/>
                </a:ln>
                <a:effectLst/>
              </c:spPr>
              <c:txPr>
                <a:bodyPr wrap="square" lIns="38100" tIns="19050" rIns="38100" bIns="19050" anchor="ctr">
                  <a:no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8779-459B-9B15-D21F1B40D3E9}"/>
                </c:ext>
              </c:extLst>
            </c:dLbl>
            <c:dLbl>
              <c:idx val="5"/>
              <c:layout>
                <c:manualLayout>
                  <c:x val="-6.7090388932670206E-2"/>
                  <c:y val="-3.76800358709818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779-459B-9B15-D21F1B40D3E9}"/>
                </c:ext>
              </c:extLst>
            </c:dLbl>
            <c:dLbl>
              <c:idx val="6"/>
              <c:layout>
                <c:manualLayout>
                  <c:x val="-6.7050654622755834E-2"/>
                  <c:y val="-3.1542577933479539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779-459B-9B15-D21F1B40D3E9}"/>
                </c:ext>
              </c:extLst>
            </c:dLbl>
            <c:dLbl>
              <c:idx val="7"/>
              <c:layout>
                <c:manualLayout>
                  <c:x val="-7.1292954444613754E-2"/>
                  <c:y val="-4.298776782758461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779-459B-9B15-D21F1B40D3E9}"/>
                </c:ext>
              </c:extLst>
            </c:dLbl>
            <c:dLbl>
              <c:idx val="8"/>
              <c:layout>
                <c:manualLayout>
                  <c:x val="-6.2906034979437489E-2"/>
                  <c:y val="-3.758993936295487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779-459B-9B15-D21F1B40D3E9}"/>
                </c:ext>
              </c:extLst>
            </c:dLbl>
            <c:dLbl>
              <c:idx val="9"/>
              <c:layout>
                <c:manualLayout>
                  <c:x val="-2.1021652301870926E-2"/>
                  <c:y val="-1.9788048754179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779-459B-9B15-D21F1B40D3E9}"/>
                </c:ext>
              </c:extLst>
            </c:dLbl>
            <c:dLbl>
              <c:idx val="10"/>
              <c:layout>
                <c:manualLayout>
                  <c:x val="-5.8860626445238748E-2"/>
                  <c:y val="-4.7945205479452052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779-459B-9B15-D21F1B40D3E9}"/>
                </c:ext>
              </c:extLst>
            </c:dLbl>
            <c:dLbl>
              <c:idx val="11"/>
              <c:layout>
                <c:manualLayout>
                  <c:x val="-5.4656295984864413E-2"/>
                  <c:y val="-4.10958904109589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779-459B-9B15-D21F1B40D3E9}"/>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11.400000000000006</c:v>
                </c:pt>
                <c:pt idx="1">
                  <c:v>17.200000000000003</c:v>
                </c:pt>
                <c:pt idx="2">
                  <c:v>15.200000000000003</c:v>
                </c:pt>
                <c:pt idx="3">
                  <c:v>13</c:v>
                </c:pt>
                <c:pt idx="4">
                  <c:v>6.5999999999999943</c:v>
                </c:pt>
                <c:pt idx="5">
                  <c:v>8</c:v>
                </c:pt>
                <c:pt idx="6">
                  <c:v>7.2000000000000028</c:v>
                </c:pt>
                <c:pt idx="7">
                  <c:v>6.4000000000000057</c:v>
                </c:pt>
                <c:pt idx="8">
                  <c:v>7.9000000000000057</c:v>
                </c:pt>
                <c:pt idx="9">
                  <c:v>5.5999999999999943</c:v>
                </c:pt>
                <c:pt idx="10">
                  <c:v>1.5</c:v>
                </c:pt>
                <c:pt idx="11">
                  <c:v>4.7000000000000028</c:v>
                </c:pt>
              </c:numCache>
            </c:numRef>
          </c:val>
          <c:smooth val="0"/>
          <c:extLst>
            <c:ext xmlns:c16="http://schemas.microsoft.com/office/drawing/2014/chart" uri="{C3380CC4-5D6E-409C-BE32-E72D297353CC}">
              <c16:uniqueId val="{00000010-8779-459B-9B15-D21F1B40D3E9}"/>
            </c:ext>
          </c:extLst>
        </c:ser>
        <c:dLbls>
          <c:showLegendKey val="0"/>
          <c:showVal val="0"/>
          <c:showCatName val="0"/>
          <c:showSerName val="0"/>
          <c:showPercent val="0"/>
          <c:showBubbleSize val="0"/>
        </c:dLbls>
        <c:marker val="1"/>
        <c:smooth val="0"/>
        <c:axId val="432426496"/>
        <c:axId val="339948608"/>
      </c:lineChart>
      <c:catAx>
        <c:axId val="43242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339948032"/>
        <c:crosses val="autoZero"/>
        <c:auto val="1"/>
        <c:lblAlgn val="ctr"/>
        <c:lblOffset val="100"/>
        <c:noMultiLvlLbl val="0"/>
      </c:catAx>
      <c:valAx>
        <c:axId val="339948032"/>
        <c:scaling>
          <c:orientation val="minMax"/>
          <c:max val="65"/>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32423424"/>
        <c:crosses val="autoZero"/>
        <c:crossBetween val="between"/>
        <c:majorUnit val="16"/>
      </c:valAx>
      <c:valAx>
        <c:axId val="339948608"/>
        <c:scaling>
          <c:orientation val="minMax"/>
          <c:max val="20"/>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32426496"/>
        <c:crosses val="max"/>
        <c:crossBetween val="between"/>
        <c:majorUnit val="5"/>
      </c:valAx>
      <c:catAx>
        <c:axId val="432426496"/>
        <c:scaling>
          <c:orientation val="minMax"/>
        </c:scaling>
        <c:delete val="1"/>
        <c:axPos val="b"/>
        <c:numFmt formatCode="General" sourceLinked="1"/>
        <c:majorTickMark val="out"/>
        <c:minorTickMark val="none"/>
        <c:tickLblPos val="none"/>
        <c:crossAx val="33994860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3.4790316678510944</c:v>
                </c:pt>
                <c:pt idx="1">
                  <c:v>5.1338538958090538</c:v>
                </c:pt>
                <c:pt idx="2">
                  <c:v>5.2858294451550591</c:v>
                </c:pt>
                <c:pt idx="3">
                  <c:v>4.6991873104165114</c:v>
                </c:pt>
                <c:pt idx="4">
                  <c:v>3.9564910906276625</c:v>
                </c:pt>
                <c:pt idx="5">
                  <c:v>3.2711848330206461</c:v>
                </c:pt>
                <c:pt idx="6">
                  <c:v>2.8300931184073699</c:v>
                </c:pt>
                <c:pt idx="7">
                  <c:v>2.4695717020497434</c:v>
                </c:pt>
                <c:pt idx="8">
                  <c:v>2.271284923053047</c:v>
                </c:pt>
                <c:pt idx="9">
                  <c:v>2.1090502856921165</c:v>
                </c:pt>
                <c:pt idx="10">
                  <c:v>1.3699813821589804</c:v>
                </c:pt>
                <c:pt idx="11">
                  <c:v>0.8472253284404232</c:v>
                </c:pt>
              </c:numCache>
            </c:numRef>
          </c:val>
          <c:extLst>
            <c:ext xmlns:c16="http://schemas.microsoft.com/office/drawing/2014/chart" uri="{C3380CC4-5D6E-409C-BE32-E72D297353CC}">
              <c16:uniqueId val="{00000000-EB01-4B07-9374-6F7412ADD45C}"/>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0.34377263567429228</c:v>
                </c:pt>
                <c:pt idx="5" formatCode="0.0">
                  <c:v>0.37164609262085624</c:v>
                </c:pt>
                <c:pt idx="8" formatCode="0.0">
                  <c:v>0.16724074167938505</c:v>
                </c:pt>
                <c:pt idx="11" formatCode="0.0">
                  <c:v>0.14865843704834197</c:v>
                </c:pt>
              </c:numCache>
            </c:numRef>
          </c:val>
          <c:extLst>
            <c:ext xmlns:c16="http://schemas.microsoft.com/office/drawing/2014/chart" uri="{C3380CC4-5D6E-409C-BE32-E72D297353CC}">
              <c16:uniqueId val="{00000001-EB01-4B07-9374-6F7412ADD45C}"/>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0.72006618463907945</c:v>
                </c:pt>
                <c:pt idx="1">
                  <c:v>0.8186015572739006</c:v>
                </c:pt>
                <c:pt idx="2">
                  <c:v>0.88681835371339279</c:v>
                </c:pt>
                <c:pt idx="3">
                  <c:v>1.0384112346900412</c:v>
                </c:pt>
                <c:pt idx="4">
                  <c:v>1.1293669632760304</c:v>
                </c:pt>
                <c:pt idx="5">
                  <c:v>1.1900041156666894</c:v>
                </c:pt>
                <c:pt idx="6">
                  <c:v>1.2203226918620185</c:v>
                </c:pt>
                <c:pt idx="7">
                  <c:v>1.2279023359108514</c:v>
                </c:pt>
                <c:pt idx="8">
                  <c:v>1.2051634037643544</c:v>
                </c:pt>
                <c:pt idx="9">
                  <c:v>1.1748448275690244</c:v>
                </c:pt>
                <c:pt idx="10">
                  <c:v>1.1293669632760304</c:v>
                </c:pt>
                <c:pt idx="11">
                  <c:v>1.0990483870807002</c:v>
                </c:pt>
              </c:numCache>
            </c:numRef>
          </c:val>
          <c:extLst>
            <c:ext xmlns:c16="http://schemas.microsoft.com/office/drawing/2014/chart" uri="{C3380CC4-5D6E-409C-BE32-E72D297353CC}">
              <c16:uniqueId val="{00000002-EB01-4B07-9374-6F7412ADD45C}"/>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3.7368721751289167</c:v>
                </c:pt>
                <c:pt idx="1">
                  <c:v>4.0409377861932212</c:v>
                </c:pt>
                <c:pt idx="2">
                  <c:v>3.6479166676836758</c:v>
                </c:pt>
                <c:pt idx="3">
                  <c:v>3.8518068338094391</c:v>
                </c:pt>
                <c:pt idx="4">
                  <c:v>3.8053868767720953</c:v>
                </c:pt>
                <c:pt idx="5">
                  <c:v>4.0573786625723249</c:v>
                </c:pt>
                <c:pt idx="6">
                  <c:v>4.1022510076212164</c:v>
                </c:pt>
                <c:pt idx="7">
                  <c:v>4.4806321019635789</c:v>
                </c:pt>
                <c:pt idx="8">
                  <c:v>4.8529391601168559</c:v>
                </c:pt>
                <c:pt idx="9">
                  <c:v>4.8098813606459938</c:v>
                </c:pt>
                <c:pt idx="10">
                  <c:v>4.9497148834439537</c:v>
                </c:pt>
                <c:pt idx="11">
                  <c:v>5.4261431584063713</c:v>
                </c:pt>
              </c:numCache>
            </c:numRef>
          </c:val>
          <c:extLst>
            <c:ext xmlns:c16="http://schemas.microsoft.com/office/drawing/2014/chart" uri="{C3380CC4-5D6E-409C-BE32-E72D297353CC}">
              <c16:uniqueId val="{00000003-EB01-4B07-9374-6F7412ADD45C}"/>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2.6852288831453111</c:v>
                </c:pt>
                <c:pt idx="1">
                  <c:v>3.3530578281762691</c:v>
                </c:pt>
                <c:pt idx="2">
                  <c:v>3.6869723006917492</c:v>
                </c:pt>
                <c:pt idx="3">
                  <c:v>3.7147985067347062</c:v>
                </c:pt>
                <c:pt idx="4">
                  <c:v>3.4226233432836608</c:v>
                </c:pt>
                <c:pt idx="5">
                  <c:v>3.1861005919185312</c:v>
                </c:pt>
                <c:pt idx="6">
                  <c:v>2.9774040465963565</c:v>
                </c:pt>
                <c:pt idx="7">
                  <c:v>2.8382730163815739</c:v>
                </c:pt>
                <c:pt idx="8">
                  <c:v>2.7130550891882681</c:v>
                </c:pt>
                <c:pt idx="9">
                  <c:v>2.6156633680379198</c:v>
                </c:pt>
                <c:pt idx="10">
                  <c:v>2.5043585438660938</c:v>
                </c:pt>
                <c:pt idx="11">
                  <c:v>2.3652275136513108</c:v>
                </c:pt>
              </c:numCache>
            </c:numRef>
          </c:val>
          <c:extLst>
            <c:ext xmlns:c16="http://schemas.microsoft.com/office/drawing/2014/chart" uri="{C3380CC4-5D6E-409C-BE32-E72D297353CC}">
              <c16:uniqueId val="{00000004-EB01-4B07-9374-6F7412ADD45C}"/>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0.77880108923560432</c:v>
                </c:pt>
                <c:pt idx="1">
                  <c:v>1.0328546970945394</c:v>
                </c:pt>
                <c:pt idx="2">
                  <c:v>0.82730705626449419</c:v>
                </c:pt>
                <c:pt idx="3">
                  <c:v>0.91148299193582138</c:v>
                </c:pt>
                <c:pt idx="4">
                  <c:v>0.17187634532796814</c:v>
                </c:pt>
                <c:pt idx="5">
                  <c:v>-0.4827626513012262</c:v>
                </c:pt>
                <c:pt idx="6">
                  <c:v>-0.3036125528231195</c:v>
                </c:pt>
                <c:pt idx="7">
                  <c:v>-0.89107252093877953</c:v>
                </c:pt>
                <c:pt idx="8">
                  <c:v>-1.402275272204383</c:v>
                </c:pt>
                <c:pt idx="9">
                  <c:v>-1.4190335194331549</c:v>
                </c:pt>
                <c:pt idx="10">
                  <c:v>-1.5382894218048317</c:v>
                </c:pt>
                <c:pt idx="11">
                  <c:v>-1.8863028246271476</c:v>
                </c:pt>
              </c:numCache>
            </c:numRef>
          </c:val>
          <c:extLst>
            <c:ext xmlns:c16="http://schemas.microsoft.com/office/drawing/2014/chart" uri="{C3380CC4-5D6E-409C-BE32-E72D297353CC}">
              <c16:uniqueId val="{00000005-EB01-4B07-9374-6F7412ADD45C}"/>
            </c:ext>
          </c:extLst>
        </c:ser>
        <c:dLbls>
          <c:showLegendKey val="0"/>
          <c:showVal val="0"/>
          <c:showCatName val="0"/>
          <c:showSerName val="0"/>
          <c:showPercent val="0"/>
          <c:showBubbleSize val="0"/>
        </c:dLbls>
        <c:gapWidth val="150"/>
        <c:overlap val="100"/>
        <c:axId val="378312704"/>
        <c:axId val="33995033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01-4B07-9374-6F7412ADD45C}"/>
                </c:ext>
              </c:extLst>
            </c:dLbl>
            <c:dLbl>
              <c:idx val="1"/>
              <c:layout>
                <c:manualLayout>
                  <c:x val="-6.5948879466989699E-2"/>
                  <c:y val="-4.550030324550444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01-4B07-9374-6F7412ADD45C}"/>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01-4B07-9374-6F7412ADD45C}"/>
                </c:ext>
              </c:extLst>
            </c:dLbl>
            <c:dLbl>
              <c:idx val="3"/>
              <c:layout>
                <c:manualLayout>
                  <c:x val="-5.769981829194424E-2"/>
                  <c:y val="-4.063126901764007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B01-4B07-9374-6F7412ADD45C}"/>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01-4B07-9374-6F7412ADD45C}"/>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B01-4B07-9374-6F7412ADD45C}"/>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B01-4B07-9374-6F7412ADD45C}"/>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B01-4B07-9374-6F7412ADD45C}"/>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B01-4B07-9374-6F7412ADD45C}"/>
                </c:ext>
              </c:extLst>
            </c:dLbl>
            <c:dLbl>
              <c:idx val="9"/>
              <c:layout>
                <c:manualLayout>
                  <c:x val="-6.1538461538461688E-2"/>
                  <c:y val="-3.949967083607639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B01-4B07-9374-6F7412ADD45C}"/>
                </c:ext>
              </c:extLst>
            </c:dLbl>
            <c:dLbl>
              <c:idx val="10"/>
              <c:layout>
                <c:manualLayout>
                  <c:x val="-6.1538461538461688E-2"/>
                  <c:y val="-3.949967083607633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B01-4B07-9374-6F7412ADD45C}"/>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B01-4B07-9374-6F7412ADD45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11.400000000000006</c:v>
                </c:pt>
                <c:pt idx="1">
                  <c:v>14.379305764546984</c:v>
                </c:pt>
                <c:pt idx="2">
                  <c:v>14.678616459182663</c:v>
                </c:pt>
                <c:pt idx="3">
                  <c:v>14.215686877586521</c:v>
                </c:pt>
                <c:pt idx="4">
                  <c:v>12.485744619287416</c:v>
                </c:pt>
                <c:pt idx="5">
                  <c:v>11.593551644497822</c:v>
                </c:pt>
                <c:pt idx="6">
                  <c:v>10.826458311663842</c:v>
                </c:pt>
                <c:pt idx="7">
                  <c:v>10.125306635366968</c:v>
                </c:pt>
                <c:pt idx="8">
                  <c:v>9.8074080455975263</c:v>
                </c:pt>
                <c:pt idx="9">
                  <c:v>9.2904063225118989</c:v>
                </c:pt>
                <c:pt idx="10">
                  <c:v>8.415132350940226</c:v>
                </c:pt>
                <c:pt idx="11">
                  <c:v>8</c:v>
                </c:pt>
              </c:numCache>
            </c:numRef>
          </c:val>
          <c:smooth val="0"/>
          <c:extLst>
            <c:ext xmlns:c16="http://schemas.microsoft.com/office/drawing/2014/chart" uri="{C3380CC4-5D6E-409C-BE32-E72D297353CC}">
              <c16:uniqueId val="{00000012-EB01-4B07-9374-6F7412ADD45C}"/>
            </c:ext>
          </c:extLst>
        </c:ser>
        <c:dLbls>
          <c:showLegendKey val="0"/>
          <c:showVal val="0"/>
          <c:showCatName val="0"/>
          <c:showSerName val="0"/>
          <c:showPercent val="0"/>
          <c:showBubbleSize val="0"/>
        </c:dLbls>
        <c:marker val="1"/>
        <c:smooth val="0"/>
        <c:axId val="378312704"/>
        <c:axId val="339950336"/>
      </c:lineChart>
      <c:catAx>
        <c:axId val="3783127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9950336"/>
        <c:crosses val="autoZero"/>
        <c:auto val="1"/>
        <c:lblAlgn val="ctr"/>
        <c:lblOffset val="100"/>
        <c:noMultiLvlLbl val="0"/>
      </c:catAx>
      <c:valAx>
        <c:axId val="339950336"/>
        <c:scaling>
          <c:orientation val="minMax"/>
          <c:max val="15"/>
          <c:min val="-2"/>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8312704"/>
        <c:crosses val="autoZero"/>
        <c:crossBetween val="between"/>
        <c:majorUnit val="2"/>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3.4790316678510971</c:v>
                </c:pt>
                <c:pt idx="1">
                  <c:v>6.7237244150697402</c:v>
                </c:pt>
                <c:pt idx="2">
                  <c:v>5.5700558827253337</c:v>
                </c:pt>
                <c:pt idx="3">
                  <c:v>2.9923277557683003</c:v>
                </c:pt>
                <c:pt idx="4">
                  <c:v>1.2437988864338132</c:v>
                </c:pt>
                <c:pt idx="5">
                  <c:v>0.23433892063245684</c:v>
                </c:pt>
                <c:pt idx="6">
                  <c:v>0.39657355799338989</c:v>
                </c:pt>
                <c:pt idx="7">
                  <c:v>0.37854748717550701</c:v>
                </c:pt>
                <c:pt idx="8">
                  <c:v>0.82919925762254032</c:v>
                </c:pt>
                <c:pt idx="9">
                  <c:v>0.95538175334771025</c:v>
                </c:pt>
                <c:pt idx="10">
                  <c:v>-3.4249534553974534</c:v>
                </c:pt>
                <c:pt idx="11">
                  <c:v>-2.6678584810464372</c:v>
                </c:pt>
              </c:numCache>
            </c:numRef>
          </c:val>
          <c:extLst>
            <c:ext xmlns:c16="http://schemas.microsoft.com/office/drawing/2014/chart" uri="{C3380CC4-5D6E-409C-BE32-E72D297353CC}">
              <c16:uniqueId val="{00000000-F68B-486B-92E6-0F5F542E150A}"/>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0.72006618463907945</c:v>
                </c:pt>
                <c:pt idx="1">
                  <c:v>0.88681835371339279</c:v>
                </c:pt>
                <c:pt idx="2">
                  <c:v>0.99293337039704599</c:v>
                </c:pt>
                <c:pt idx="3">
                  <c:v>1.3491766406921697</c:v>
                </c:pt>
                <c:pt idx="4">
                  <c:v>1.3719155728386667</c:v>
                </c:pt>
                <c:pt idx="5">
                  <c:v>1.3643359287898347</c:v>
                </c:pt>
                <c:pt idx="6">
                  <c:v>1.3415969966433376</c:v>
                </c:pt>
                <c:pt idx="7">
                  <c:v>1.2506412680573484</c:v>
                </c:pt>
                <c:pt idx="8">
                  <c:v>1.1142076751783652</c:v>
                </c:pt>
                <c:pt idx="9">
                  <c:v>1.0232519465923759</c:v>
                </c:pt>
                <c:pt idx="10">
                  <c:v>0.87923870966455975</c:v>
                </c:pt>
                <c:pt idx="11">
                  <c:v>0.97777408229938201</c:v>
                </c:pt>
              </c:numCache>
            </c:numRef>
          </c:val>
          <c:extLst>
            <c:ext xmlns:c16="http://schemas.microsoft.com/office/drawing/2014/chart" uri="{C3380CC4-5D6E-409C-BE32-E72D297353CC}">
              <c16:uniqueId val="{00000001-F68B-486B-92E6-0F5F542E150A}"/>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3.7368721751289167</c:v>
                </c:pt>
                <c:pt idx="1">
                  <c:v>4.351152532684357</c:v>
                </c:pt>
                <c:pt idx="2">
                  <c:v>2.9690217281846185</c:v>
                </c:pt>
                <c:pt idx="3">
                  <c:v>4.4023425624806407</c:v>
                </c:pt>
                <c:pt idx="4">
                  <c:v>3.6344921155363421</c:v>
                </c:pt>
                <c:pt idx="5">
                  <c:v>5.2213830392212293</c:v>
                </c:pt>
                <c:pt idx="6">
                  <c:v>4.351152532684357</c:v>
                </c:pt>
                <c:pt idx="7">
                  <c:v>6.859463992702401</c:v>
                </c:pt>
                <c:pt idx="8">
                  <c:v>7.6785044694429825</c:v>
                </c:pt>
                <c:pt idx="9">
                  <c:v>4.4535325922769315</c:v>
                </c:pt>
                <c:pt idx="10">
                  <c:v>6.2963736649432445</c:v>
                </c:pt>
                <c:pt idx="11">
                  <c:v>9.9308657804795946</c:v>
                </c:pt>
              </c:numCache>
            </c:numRef>
          </c:val>
          <c:extLst>
            <c:ext xmlns:c16="http://schemas.microsoft.com/office/drawing/2014/chart" uri="{C3380CC4-5D6E-409C-BE32-E72D297353CC}">
              <c16:uniqueId val="{00000002-F68B-486B-92E6-0F5F542E150A}"/>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2.6852288831453111</c:v>
                </c:pt>
                <c:pt idx="1">
                  <c:v>3.93740815507836</c:v>
                </c:pt>
                <c:pt idx="2">
                  <c:v>4.2295833185294036</c:v>
                </c:pt>
                <c:pt idx="3">
                  <c:v>3.7843640218420975</c:v>
                </c:pt>
                <c:pt idx="4">
                  <c:v>2.4487061317801797</c:v>
                </c:pt>
                <c:pt idx="5">
                  <c:v>2.2539226894794848</c:v>
                </c:pt>
                <c:pt idx="6">
                  <c:v>1.9478344230069617</c:v>
                </c:pt>
                <c:pt idx="7">
                  <c:v>2.0730523502002671</c:v>
                </c:pt>
                <c:pt idx="8">
                  <c:v>1.8643558048780928</c:v>
                </c:pt>
                <c:pt idx="9">
                  <c:v>1.9060951139425273</c:v>
                </c:pt>
                <c:pt idx="10">
                  <c:v>1.6000068474700044</c:v>
                </c:pt>
                <c:pt idx="11">
                  <c:v>1.4330496112122644</c:v>
                </c:pt>
              </c:numCache>
            </c:numRef>
          </c:val>
          <c:extLst>
            <c:ext xmlns:c16="http://schemas.microsoft.com/office/drawing/2014/chart" uri="{C3380CC4-5D6E-409C-BE32-E72D297353CC}">
              <c16:uniqueId val="{00000003-F68B-486B-92E6-0F5F542E150A}"/>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0.77880108923560165</c:v>
                </c:pt>
                <c:pt idx="1">
                  <c:v>1.3008965434541526</c:v>
                </c:pt>
                <c:pt idx="2">
                  <c:v>1.4384057001636013</c:v>
                </c:pt>
                <c:pt idx="3">
                  <c:v>0.47178901921679106</c:v>
                </c:pt>
                <c:pt idx="4">
                  <c:v>-2.0989127065890081</c:v>
                </c:pt>
                <c:pt idx="5">
                  <c:v>-1.0739805781230061</c:v>
                </c:pt>
                <c:pt idx="6">
                  <c:v>-0.83715751032804242</c:v>
                </c:pt>
                <c:pt idx="7">
                  <c:v>-4.1617050981355188</c:v>
                </c:pt>
                <c:pt idx="8">
                  <c:v>-3.5862672071219759</c:v>
                </c:pt>
                <c:pt idx="9">
                  <c:v>-2.73826140615955</c:v>
                </c:pt>
                <c:pt idx="10">
                  <c:v>-3.8506657666803559</c:v>
                </c:pt>
                <c:pt idx="11">
                  <c:v>-4.9738309929448015</c:v>
                </c:pt>
              </c:numCache>
            </c:numRef>
          </c:val>
          <c:extLst>
            <c:ext xmlns:c16="http://schemas.microsoft.com/office/drawing/2014/chart" uri="{C3380CC4-5D6E-409C-BE32-E72D297353CC}">
              <c16:uniqueId val="{00000004-F68B-486B-92E6-0F5F542E150A}"/>
            </c:ext>
          </c:extLst>
        </c:ser>
        <c:dLbls>
          <c:showLegendKey val="0"/>
          <c:showVal val="0"/>
          <c:showCatName val="0"/>
          <c:showSerName val="0"/>
          <c:showPercent val="0"/>
          <c:showBubbleSize val="0"/>
        </c:dLbls>
        <c:gapWidth val="219"/>
        <c:overlap val="100"/>
        <c:axId val="380239872"/>
        <c:axId val="37181145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7.0443544714639372E-2"/>
                  <c:y val="3.8678390484819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8B-486B-92E6-0F5F542E150A}"/>
                </c:ext>
              </c:extLst>
            </c:dLbl>
            <c:dLbl>
              <c:idx val="1"/>
              <c:layout>
                <c:manualLayout>
                  <c:x val="-6.6155973405532545E-2"/>
                  <c:y val="4.5161372656618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68B-486B-92E6-0F5F542E150A}"/>
                </c:ext>
              </c:extLst>
            </c:dLbl>
            <c:dLbl>
              <c:idx val="2"/>
              <c:layout>
                <c:manualLayout>
                  <c:x val="-7.4325849615916109E-2"/>
                  <c:y val="-4.51613752157985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8B-486B-92E6-0F5F542E150A}"/>
                </c:ext>
              </c:extLst>
            </c:dLbl>
            <c:dLbl>
              <c:idx val="3"/>
              <c:layout>
                <c:manualLayout>
                  <c:x val="-7.0122100389904657E-2"/>
                  <c:y val="-5.7572950440018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68B-486B-92E6-0F5F542E150A}"/>
                </c:ext>
              </c:extLst>
            </c:dLbl>
            <c:dLbl>
              <c:idx val="4"/>
              <c:layout>
                <c:manualLayout>
                  <c:x val="-6.6230814784320885E-2"/>
                  <c:y val="-3.0431807655059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68B-486B-92E6-0F5F542E150A}"/>
                </c:ext>
              </c:extLst>
            </c:dLbl>
            <c:dLbl>
              <c:idx val="5"/>
              <c:layout>
                <c:manualLayout>
                  <c:x val="-6.745603660480945E-2"/>
                  <c:y val="-4.5179270706134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68B-486B-92E6-0F5F542E150A}"/>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68B-486B-92E6-0F5F542E150A}"/>
                </c:ext>
              </c:extLst>
            </c:dLbl>
            <c:dLbl>
              <c:idx val="7"/>
              <c:layout>
                <c:manualLayout>
                  <c:x val="-6.3170628419679728E-2"/>
                  <c:y val="-5.1662175249484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68B-486B-92E6-0F5F542E150A}"/>
                </c:ext>
              </c:extLst>
            </c:dLbl>
            <c:dLbl>
              <c:idx val="8"/>
              <c:layout>
                <c:manualLayout>
                  <c:x val="-5.0790522836670349E-2"/>
                  <c:y val="-4.5179270706134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68B-486B-92E6-0F5F542E150A}"/>
                </c:ext>
              </c:extLst>
            </c:dLbl>
            <c:dLbl>
              <c:idx val="9"/>
              <c:layout>
                <c:manualLayout>
                  <c:x val="-6.3963935084501836E-2"/>
                  <c:y val="-6.1369426081098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68B-486B-92E6-0F5F542E150A}"/>
                </c:ext>
              </c:extLst>
            </c:dLbl>
            <c:dLbl>
              <c:idx val="10"/>
              <c:layout>
                <c:manualLayout>
                  <c:x val="-6.8566530962074296E-2"/>
                  <c:y val="-4.6791443850267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68B-486B-92E6-0F5F542E150A}"/>
                </c:ext>
              </c:extLst>
            </c:dLbl>
            <c:dLbl>
              <c:idx val="11"/>
              <c:layout>
                <c:manualLayout>
                  <c:x val="-8.5708163702592679E-3"/>
                  <c:y val="-4.0106951871657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68B-486B-92E6-0F5F542E150A}"/>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11.400000000000006</c:v>
                </c:pt>
                <c:pt idx="1">
                  <c:v>17.200000000000003</c:v>
                </c:pt>
                <c:pt idx="2">
                  <c:v>15.200000000000003</c:v>
                </c:pt>
                <c:pt idx="3">
                  <c:v>13</c:v>
                </c:pt>
                <c:pt idx="4">
                  <c:v>6.5999999999999943</c:v>
                </c:pt>
                <c:pt idx="5">
                  <c:v>8</c:v>
                </c:pt>
                <c:pt idx="6">
                  <c:v>7.2000000000000028</c:v>
                </c:pt>
                <c:pt idx="7">
                  <c:v>6.4000000000000057</c:v>
                </c:pt>
                <c:pt idx="8">
                  <c:v>7.9000000000000057</c:v>
                </c:pt>
                <c:pt idx="9">
                  <c:v>5.5999999999999943</c:v>
                </c:pt>
                <c:pt idx="10">
                  <c:v>1.5</c:v>
                </c:pt>
                <c:pt idx="11">
                  <c:v>4.7000000000000028</c:v>
                </c:pt>
              </c:numCache>
            </c:numRef>
          </c:val>
          <c:smooth val="0"/>
          <c:extLst>
            <c:ext xmlns:c16="http://schemas.microsoft.com/office/drawing/2014/chart" uri="{C3380CC4-5D6E-409C-BE32-E72D297353CC}">
              <c16:uniqueId val="{00000011-F68B-486B-92E6-0F5F542E150A}"/>
            </c:ext>
          </c:extLst>
        </c:ser>
        <c:dLbls>
          <c:showLegendKey val="0"/>
          <c:showVal val="0"/>
          <c:showCatName val="0"/>
          <c:showSerName val="0"/>
          <c:showPercent val="0"/>
          <c:showBubbleSize val="0"/>
        </c:dLbls>
        <c:marker val="1"/>
        <c:smooth val="0"/>
        <c:axId val="380239872"/>
        <c:axId val="371811456"/>
      </c:lineChart>
      <c:catAx>
        <c:axId val="3802398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1456"/>
        <c:crosses val="autoZero"/>
        <c:auto val="1"/>
        <c:lblAlgn val="ctr"/>
        <c:lblOffset val="100"/>
        <c:noMultiLvlLbl val="0"/>
      </c:catAx>
      <c:valAx>
        <c:axId val="371811456"/>
        <c:scaling>
          <c:orientation val="minMax"/>
          <c:max val="18"/>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39872"/>
        <c:crosses val="autoZero"/>
        <c:crossBetween val="between"/>
        <c:majorUnit val="3"/>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1.1559395290630521</c:v>
                </c:pt>
                <c:pt idx="1">
                  <c:v>-0.92805433071689014</c:v>
                </c:pt>
                <c:pt idx="2">
                  <c:v>-0.3002967056533179</c:v>
                </c:pt>
                <c:pt idx="3">
                  <c:v>3.3044443762730626</c:v>
                </c:pt>
                <c:pt idx="4">
                  <c:v>-3.1546871892247839</c:v>
                </c:pt>
              </c:numCache>
            </c:numRef>
          </c:val>
          <c:extLst>
            <c:ext xmlns:c16="http://schemas.microsoft.com/office/drawing/2014/chart" uri="{C3380CC4-5D6E-409C-BE32-E72D297353CC}">
              <c16:uniqueId val="{00000000-0502-46E8-91D9-9A48D3B081C1}"/>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-11.620377926392074</c:v>
                </c:pt>
                <c:pt idx="1">
                  <c:v>2.1018893406699726</c:v>
                </c:pt>
                <c:pt idx="2">
                  <c:v>3.9507014081597367</c:v>
                </c:pt>
                <c:pt idx="3">
                  <c:v>3.7679534433269684</c:v>
                </c:pt>
                <c:pt idx="4">
                  <c:v>4.4269287630875294</c:v>
                </c:pt>
              </c:numCache>
            </c:numRef>
          </c:val>
          <c:extLst>
            <c:ext xmlns:c16="http://schemas.microsoft.com/office/drawing/2014/chart" uri="{C3380CC4-5D6E-409C-BE32-E72D297353CC}">
              <c16:uniqueId val="{00000001-0502-46E8-91D9-9A48D3B081C1}"/>
            </c:ext>
          </c:extLst>
        </c:ser>
        <c:ser>
          <c:idx val="3"/>
          <c:order val="3"/>
          <c:tx>
            <c:strRef>
              <c:f>Sheet1!$E$1</c:f>
              <c:strCache>
                <c:ptCount val="1"/>
                <c:pt idx="0">
                  <c:v>Պետական ներդրումներ</c:v>
                </c:pt>
              </c:strCache>
            </c:strRef>
          </c:tx>
          <c:invertIfNegative val="0"/>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0.21985117385280206</c:v>
                </c:pt>
                <c:pt idx="1">
                  <c:v>0.66168286709940016</c:v>
                </c:pt>
                <c:pt idx="2">
                  <c:v>0.45231991818096801</c:v>
                </c:pt>
                <c:pt idx="3">
                  <c:v>0.81841292067806082</c:v>
                </c:pt>
                <c:pt idx="4">
                  <c:v>0.29732493453542957</c:v>
                </c:pt>
              </c:numCache>
            </c:numRef>
          </c:val>
          <c:extLst>
            <c:ext xmlns:c16="http://schemas.microsoft.com/office/drawing/2014/chart" uri="{C3380CC4-5D6E-409C-BE32-E72D297353CC}">
              <c16:uniqueId val="{00000002-0502-46E8-91D9-9A48D3B081C1}"/>
            </c:ext>
          </c:extLst>
        </c:ser>
        <c:ser>
          <c:idx val="4"/>
          <c:order val="4"/>
          <c:tx>
            <c:strRef>
              <c:f>Sheet1!$F$1</c:f>
              <c:strCache>
                <c:ptCount val="1"/>
                <c:pt idx="0">
                  <c:v>Մասնավոր ներդրումներ</c:v>
                </c:pt>
              </c:strCache>
            </c:strRef>
          </c:tx>
          <c:invertIfNegative val="0"/>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-0.45708515033245495</c:v>
                </c:pt>
                <c:pt idx="1">
                  <c:v>3.5329625483751164</c:v>
                </c:pt>
                <c:pt idx="2">
                  <c:v>2.5162319428349815</c:v>
                </c:pt>
                <c:pt idx="3">
                  <c:v>1.309567515222668</c:v>
                </c:pt>
                <c:pt idx="4">
                  <c:v>2.0194742445763496</c:v>
                </c:pt>
              </c:numCache>
            </c:numRef>
          </c:val>
          <c:extLst>
            <c:ext xmlns:c16="http://schemas.microsoft.com/office/drawing/2014/chart" uri="{C3380CC4-5D6E-409C-BE32-E72D297353CC}">
              <c16:uniqueId val="{00000003-0502-46E8-91D9-9A48D3B081C1}"/>
            </c:ext>
          </c:extLst>
        </c:ser>
        <c:ser>
          <c:idx val="5"/>
          <c:order val="5"/>
          <c:tx>
            <c:strRef>
              <c:f>Sheet1!$G$1</c:f>
              <c:strCache>
                <c:ptCount val="1"/>
                <c:pt idx="0">
                  <c:v>Արտահանում</c:v>
                </c:pt>
              </c:strCache>
            </c:strRef>
          </c:tx>
          <c:spPr>
            <a:solidFill>
              <a:srgbClr val="FAC090"/>
            </a:solidFill>
          </c:spPr>
          <c:invertIfNegative val="0"/>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-13.852518456298451</c:v>
                </c:pt>
                <c:pt idx="1">
                  <c:v>5.536287566225969</c:v>
                </c:pt>
                <c:pt idx="2">
                  <c:v>21.507957554085888</c:v>
                </c:pt>
                <c:pt idx="3">
                  <c:v>15.419069001339928</c:v>
                </c:pt>
                <c:pt idx="4">
                  <c:v>21.164942500271067</c:v>
                </c:pt>
              </c:numCache>
            </c:numRef>
          </c:val>
          <c:extLst>
            <c:ext xmlns:c16="http://schemas.microsoft.com/office/drawing/2014/chart" uri="{C3380CC4-5D6E-409C-BE32-E72D297353CC}">
              <c16:uniqueId val="{00000004-0502-46E8-91D9-9A48D3B081C1}"/>
            </c:ext>
          </c:extLst>
        </c:ser>
        <c:ser>
          <c:idx val="6"/>
          <c:order val="6"/>
          <c:tx>
            <c:strRef>
              <c:f>Sheet1!$H$1</c:f>
              <c:strCache>
                <c:ptCount val="1"/>
                <c:pt idx="0">
                  <c:v>Ներմուծում</c:v>
                </c:pt>
              </c:strCache>
            </c:strRef>
          </c:tx>
          <c:spPr>
            <a:solidFill>
              <a:srgbClr val="93A9CF"/>
            </a:solidFill>
          </c:spPr>
          <c:invertIfNegative val="0"/>
          <c:cat>
            <c:numRef>
              <c:f>Sheet1!$A$2:$A$8</c:f>
              <c:numCache>
                <c:formatCode>General</c:formatCode>
                <c:ptCount val="5"/>
                <c:pt idx="0">
                  <c:v>2020</c:v>
                </c:pt>
                <c:pt idx="1">
                  <c:v>2021</c:v>
                </c:pt>
                <c:pt idx="2">
                  <c:v>2022</c:v>
                </c:pt>
                <c:pt idx="3">
                  <c:v>2023</c:v>
                </c:pt>
                <c:pt idx="4">
                  <c:v>2024</c:v>
                </c:pt>
              </c:numCache>
            </c:numRef>
          </c:cat>
          <c:val>
            <c:numRef>
              <c:f>Sheet1!$H$2:$H$8</c:f>
              <c:numCache>
                <c:formatCode>0.0</c:formatCode>
                <c:ptCount val="5"/>
                <c:pt idx="0">
                  <c:v>17.250456121537535</c:v>
                </c:pt>
                <c:pt idx="1">
                  <c:v>-5.1243728605494399</c:v>
                </c:pt>
                <c:pt idx="2">
                  <c:v>-15.317207091449617</c:v>
                </c:pt>
                <c:pt idx="3">
                  <c:v>-15.458110935765839</c:v>
                </c:pt>
                <c:pt idx="4">
                  <c:v>-18.922442988731301</c:v>
                </c:pt>
              </c:numCache>
            </c:numRef>
          </c:val>
          <c:extLst>
            <c:ext xmlns:c16="http://schemas.microsoft.com/office/drawing/2014/chart" uri="{C3380CC4-5D6E-409C-BE32-E72D297353CC}">
              <c16:uniqueId val="{00000005-0502-46E8-91D9-9A48D3B081C1}"/>
            </c:ext>
          </c:extLst>
        </c:ser>
        <c:dLbls>
          <c:showLegendKey val="0"/>
          <c:showVal val="0"/>
          <c:showCatName val="0"/>
          <c:showSerName val="0"/>
          <c:showPercent val="0"/>
          <c:showBubbleSize val="0"/>
        </c:dLbls>
        <c:gapWidth val="150"/>
        <c:axId val="380241920"/>
        <c:axId val="371813184"/>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4.5524772366417159E-2"/>
                  <c:y val="-4.1268340614252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02-46E8-91D9-9A48D3B081C1}"/>
                </c:ext>
              </c:extLst>
            </c:dLbl>
            <c:dLbl>
              <c:idx val="1"/>
              <c:layout>
                <c:manualLayout>
                  <c:x val="-5.7191487084503369E-2"/>
                  <c:y val="-6.5071503498824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02-46E8-91D9-9A48D3B081C1}"/>
                </c:ext>
              </c:extLst>
            </c:dLbl>
            <c:dLbl>
              <c:idx val="2"/>
              <c:layout>
                <c:manualLayout>
                  <c:x val="-6.1471112407245468E-2"/>
                  <c:y val="5.8727675903918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502-46E8-91D9-9A48D3B081C1}"/>
                </c:ext>
              </c:extLst>
            </c:dLbl>
            <c:dLbl>
              <c:idx val="3"/>
              <c:layout>
                <c:manualLayout>
                  <c:x val="-7.157401530208013E-2"/>
                  <c:y val="-6.546613376531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502-46E8-91D9-9A48D3B081C1}"/>
                </c:ext>
              </c:extLst>
            </c:dLbl>
            <c:dLbl>
              <c:idx val="4"/>
              <c:layout>
                <c:manualLayout>
                  <c:x val="-6.5504021738645848E-2"/>
                  <c:y val="-5.396290050590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502-46E8-91D9-9A48D3B081C1}"/>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502-46E8-91D9-9A48D3B081C1}"/>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-7.200000000000002</c:v>
                </c:pt>
                <c:pt idx="1">
                  <c:v>5.799999999999998</c:v>
                </c:pt>
                <c:pt idx="2">
                  <c:v>12.599999999999996</c:v>
                </c:pt>
                <c:pt idx="3">
                  <c:v>8.2999999999999972</c:v>
                </c:pt>
                <c:pt idx="4">
                  <c:v>5.9000000000000057</c:v>
                </c:pt>
              </c:numCache>
            </c:numRef>
          </c:val>
          <c:smooth val="0"/>
          <c:extLst>
            <c:ext xmlns:c16="http://schemas.microsoft.com/office/drawing/2014/chart" uri="{C3380CC4-5D6E-409C-BE32-E72D297353CC}">
              <c16:uniqueId val="{0000000C-0502-46E8-91D9-9A48D3B081C1}"/>
            </c:ext>
          </c:extLst>
        </c:ser>
        <c:dLbls>
          <c:showLegendKey val="0"/>
          <c:showVal val="0"/>
          <c:showCatName val="0"/>
          <c:showSerName val="0"/>
          <c:showPercent val="0"/>
          <c:showBubbleSize val="0"/>
        </c:dLbls>
        <c:marker val="1"/>
        <c:smooth val="0"/>
        <c:axId val="380241920"/>
        <c:axId val="371813184"/>
      </c:lineChart>
      <c:catAx>
        <c:axId val="3802419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3184"/>
        <c:crosses val="autoZero"/>
        <c:auto val="1"/>
        <c:lblAlgn val="ctr"/>
        <c:lblOffset val="100"/>
        <c:noMultiLvlLbl val="0"/>
      </c:catAx>
      <c:valAx>
        <c:axId val="371813184"/>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41920"/>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14.968618237369189</c:v>
                </c:pt>
                <c:pt idx="1">
                  <c:v>13.649850256968978</c:v>
                </c:pt>
                <c:pt idx="2">
                  <c:v>11.676481894957815</c:v>
                </c:pt>
                <c:pt idx="3">
                  <c:v>14.146579323877956</c:v>
                </c:pt>
                <c:pt idx="4">
                  <c:v>10.733282250269051</c:v>
                </c:pt>
              </c:numCache>
            </c:numRef>
          </c:val>
          <c:extLst>
            <c:ext xmlns:c16="http://schemas.microsoft.com/office/drawing/2014/chart" uri="{C3380CC4-5D6E-409C-BE32-E72D297353CC}">
              <c16:uniqueId val="{00000000-3793-4C20-B657-3F047A0B7EB5}"/>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75.326382528252708</c:v>
                </c:pt>
                <c:pt idx="1">
                  <c:v>71.243282359459428</c:v>
                </c:pt>
                <c:pt idx="2">
                  <c:v>66.905716100598084</c:v>
                </c:pt>
                <c:pt idx="3">
                  <c:v>65.368519042543909</c:v>
                </c:pt>
                <c:pt idx="4">
                  <c:v>66.5408098034614</c:v>
                </c:pt>
              </c:numCache>
            </c:numRef>
          </c:val>
          <c:extLst>
            <c:ext xmlns:c16="http://schemas.microsoft.com/office/drawing/2014/chart" uri="{C3380CC4-5D6E-409C-BE32-E72D297353CC}">
              <c16:uniqueId val="{00000001-3793-4C20-B657-3F047A0B7EB5}"/>
            </c:ext>
          </c:extLst>
        </c:ser>
        <c:ser>
          <c:idx val="3"/>
          <c:order val="3"/>
          <c:tx>
            <c:strRef>
              <c:f>Sheet1!$E$1</c:f>
              <c:strCache>
                <c:ptCount val="1"/>
                <c:pt idx="0">
                  <c:v>Պետական ներդրումներ</c:v>
                </c:pt>
              </c:strCache>
            </c:strRef>
          </c:tx>
          <c:invertIfNegative val="0"/>
          <c:dLbls>
            <c:delete val="1"/>
          </c:dLbls>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1.9543448036531668</c:v>
                </c:pt>
                <c:pt idx="1">
                  <c:v>2.5249757749738562</c:v>
                </c:pt>
                <c:pt idx="2">
                  <c:v>2.5950562147673306</c:v>
                </c:pt>
                <c:pt idx="3">
                  <c:v>3.0713394360095942</c:v>
                </c:pt>
                <c:pt idx="4">
                  <c:v>3.15131588389468</c:v>
                </c:pt>
              </c:numCache>
            </c:numRef>
          </c:val>
          <c:extLst>
            <c:ext xmlns:c16="http://schemas.microsoft.com/office/drawing/2014/chart" uri="{C3380CC4-5D6E-409C-BE32-E72D297353CC}">
              <c16:uniqueId val="{00000002-3793-4C20-B657-3F047A0B7EB5}"/>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15.8195764483575</c:v>
                </c:pt>
                <c:pt idx="1">
                  <c:v>18.678966089425781</c:v>
                </c:pt>
                <c:pt idx="2">
                  <c:v>18.474057011972569</c:v>
                </c:pt>
                <c:pt idx="3">
                  <c:v>17.800725240673106</c:v>
                </c:pt>
                <c:pt idx="4">
                  <c:v>18.541386908700037</c:v>
                </c:pt>
              </c:numCache>
            </c:numRef>
          </c:val>
          <c:extLst>
            <c:ext xmlns:c16="http://schemas.microsoft.com/office/drawing/2014/chart" uri="{C3380CC4-5D6E-409C-BE32-E72D297353CC}">
              <c16:uniqueId val="{00000003-3793-4C20-B657-3F047A0B7EB5}"/>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Ref>
          </c:val>
          <c:extLst>
            <c:ext xmlns:c16="http://schemas.microsoft.com/office/drawing/2014/chart" uri="{C3380CC4-5D6E-409C-BE32-E72D297353CC}">
              <c16:uniqueId val="{00000004-3793-4C20-B657-3F047A0B7EB5}"/>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29.764986915193393</c:v>
                </c:pt>
                <c:pt idx="1">
                  <c:v>35.906439990126685</c:v>
                </c:pt>
                <c:pt idx="2">
                  <c:v>50.224980460390668</c:v>
                </c:pt>
                <c:pt idx="3">
                  <c:v>59.452085674918742</c:v>
                </c:pt>
                <c:pt idx="4">
                  <c:v>76.347118002678314</c:v>
                </c:pt>
              </c:numCache>
            </c:numRef>
          </c:val>
          <c:extLst>
            <c:ext xmlns:c16="http://schemas.microsoft.com/office/drawing/2014/chart" uri="{C3380CC4-5D6E-409C-BE32-E72D297353CC}">
              <c16:uniqueId val="{00000005-3793-4C20-B657-3F047A0B7EB5}"/>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Sheet1!$H$2:$H$8</c:f>
              <c:numCache>
                <c:formatCode>0.0</c:formatCode>
                <c:ptCount val="5"/>
                <c:pt idx="0">
                  <c:v>-39.723820624414245</c:v>
                </c:pt>
                <c:pt idx="1">
                  <c:v>-43.763448832713195</c:v>
                </c:pt>
                <c:pt idx="2">
                  <c:v>-51.18579780054916</c:v>
                </c:pt>
                <c:pt idx="3">
                  <c:v>-60.262557288953175</c:v>
                </c:pt>
                <c:pt idx="4">
                  <c:v>-75.793111081551444</c:v>
                </c:pt>
              </c:numCache>
            </c:numRef>
          </c:val>
          <c:extLst>
            <c:ext xmlns:c16="http://schemas.microsoft.com/office/drawing/2014/chart" uri="{C3380CC4-5D6E-409C-BE32-E72D297353CC}">
              <c16:uniqueId val="{00000006-3793-4C20-B657-3F047A0B7EB5}"/>
            </c:ext>
          </c:extLst>
        </c:ser>
        <c:ser>
          <c:idx val="7"/>
          <c:order val="7"/>
          <c:tx>
            <c:strRef>
              <c:f>Sheet1!$I$1</c:f>
              <c:strCache>
                <c:ptCount val="1"/>
                <c:pt idx="0">
                  <c:v>Վիճակագրական շեղում</c:v>
                </c:pt>
              </c:strCache>
            </c:strRef>
          </c:tx>
          <c:invertIfNegative val="0"/>
          <c:dLbls>
            <c:delete val="1"/>
          </c:dLbls>
          <c:cat>
            <c:numRef>
              <c:f>Sheet1!$A$2:$A$8</c:f>
              <c:numCache>
                <c:formatCode>General</c:formatCode>
                <c:ptCount val="5"/>
                <c:pt idx="0">
                  <c:v>2020</c:v>
                </c:pt>
                <c:pt idx="1">
                  <c:v>2021</c:v>
                </c:pt>
                <c:pt idx="2">
                  <c:v>2022</c:v>
                </c:pt>
                <c:pt idx="3">
                  <c:v>2023</c:v>
                </c:pt>
                <c:pt idx="4">
                  <c:v>2024</c:v>
                </c:pt>
              </c:numCache>
            </c:numRef>
          </c:cat>
          <c:val>
            <c:numRef>
              <c:f>Sheet1!$I$2:$I$8</c:f>
              <c:numCache>
                <c:formatCode>0.0</c:formatCode>
                <c:ptCount val="5"/>
                <c:pt idx="0">
                  <c:v>1.8899116915882748</c:v>
                </c:pt>
                <c:pt idx="1">
                  <c:v>1.7599343617584604</c:v>
                </c:pt>
                <c:pt idx="2">
                  <c:v>1.3095061178626899</c:v>
                </c:pt>
                <c:pt idx="3">
                  <c:v>0.42330857092986635</c:v>
                </c:pt>
                <c:pt idx="4">
                  <c:v>0.47919823254796468</c:v>
                </c:pt>
              </c:numCache>
            </c:numRef>
          </c:val>
          <c:extLst>
            <c:ext xmlns:c16="http://schemas.microsoft.com/office/drawing/2014/chart" uri="{C3380CC4-5D6E-409C-BE32-E72D297353CC}">
              <c16:uniqueId val="{00000007-3793-4C20-B657-3F047A0B7EB5}"/>
            </c:ext>
          </c:extLst>
        </c:ser>
        <c:dLbls>
          <c:dLblPos val="ctr"/>
          <c:showLegendKey val="0"/>
          <c:showVal val="1"/>
          <c:showCatName val="0"/>
          <c:showSerName val="0"/>
          <c:showPercent val="0"/>
          <c:showBubbleSize val="0"/>
        </c:dLbls>
        <c:gapWidth val="100"/>
        <c:overlap val="100"/>
        <c:axId val="380993536"/>
        <c:axId val="371812032"/>
      </c:barChart>
      <c:catAx>
        <c:axId val="380993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71812032"/>
        <c:crosses val="autoZero"/>
        <c:auto val="1"/>
        <c:lblAlgn val="ctr"/>
        <c:lblOffset val="300"/>
        <c:noMultiLvlLbl val="0"/>
      </c:catAx>
      <c:valAx>
        <c:axId val="371812032"/>
        <c:scaling>
          <c:orientation val="minMax"/>
          <c:max val="180"/>
          <c:min val="-6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38099353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Sheet1!$A$2:$A$7</c:f>
              <c:numCache>
                <c:formatCode>General</c:formatCode>
                <c:ptCount val="5"/>
                <c:pt idx="0">
                  <c:v>2020</c:v>
                </c:pt>
                <c:pt idx="1">
                  <c:v>2021</c:v>
                </c:pt>
                <c:pt idx="2">
                  <c:v>2022</c:v>
                </c:pt>
                <c:pt idx="3">
                  <c:v>2023</c:v>
                </c:pt>
                <c:pt idx="4">
                  <c:v>2024</c:v>
                </c:pt>
              </c:numCache>
            </c:numRef>
          </c:cat>
          <c:val>
            <c:numRef>
              <c:f>Sheet1!$C$2:$C$7</c:f>
              <c:numCache>
                <c:formatCode>0.0</c:formatCode>
                <c:ptCount val="5"/>
                <c:pt idx="0">
                  <c:v>234.4</c:v>
                </c:pt>
                <c:pt idx="1">
                  <c:v>199</c:v>
                </c:pt>
                <c:pt idx="2">
                  <c:v>176.6</c:v>
                </c:pt>
                <c:pt idx="3">
                  <c:v>166.7</c:v>
                </c:pt>
                <c:pt idx="4">
                  <c:v>187.9</c:v>
                </c:pt>
              </c:numCache>
            </c:numRef>
          </c:val>
          <c:extLst>
            <c:ext xmlns:c16="http://schemas.microsoft.com/office/drawing/2014/chart" uri="{C3380CC4-5D6E-409C-BE32-E72D297353CC}">
              <c16:uniqueId val="{00000000-C742-4924-8544-5EA35F4D3CCC}"/>
            </c:ext>
          </c:extLst>
        </c:ser>
        <c:ser>
          <c:idx val="0"/>
          <c:order val="2"/>
          <c:tx>
            <c:strRef>
              <c:f>Sheet1!$B$1</c:f>
              <c:strCache>
                <c:ptCount val="1"/>
                <c:pt idx="0">
                  <c:v>Զբաղվածներ, հազ. մարդ</c:v>
                </c:pt>
              </c:strCache>
            </c:strRef>
          </c:tx>
          <c:spPr>
            <a:solidFill>
              <a:srgbClr val="4F81BD"/>
            </a:solidFill>
          </c:spPr>
          <c:invertIfNegative val="0"/>
          <c:cat>
            <c:numRef>
              <c:f>Sheet1!$A$2:$A$7</c:f>
              <c:numCache>
                <c:formatCode>General</c:formatCode>
                <c:ptCount val="5"/>
                <c:pt idx="0">
                  <c:v>2020</c:v>
                </c:pt>
                <c:pt idx="1">
                  <c:v>2021</c:v>
                </c:pt>
                <c:pt idx="2">
                  <c:v>2022</c:v>
                </c:pt>
                <c:pt idx="3">
                  <c:v>2023</c:v>
                </c:pt>
                <c:pt idx="4">
                  <c:v>2024</c:v>
                </c:pt>
              </c:numCache>
            </c:numRef>
          </c:cat>
          <c:val>
            <c:numRef>
              <c:f>Sheet1!$B$2:$B$7</c:f>
              <c:numCache>
                <c:formatCode>0.0</c:formatCode>
                <c:ptCount val="5"/>
                <c:pt idx="0">
                  <c:v>1052.4000000000001</c:v>
                </c:pt>
                <c:pt idx="1">
                  <c:v>1088.3</c:v>
                </c:pt>
                <c:pt idx="2">
                  <c:v>1134.8</c:v>
                </c:pt>
                <c:pt idx="3">
                  <c:v>1174.4000000000001</c:v>
                </c:pt>
                <c:pt idx="4">
                  <c:v>1168.4000000000001</c:v>
                </c:pt>
              </c:numCache>
            </c:numRef>
          </c:val>
          <c:extLst>
            <c:ext xmlns:c16="http://schemas.microsoft.com/office/drawing/2014/chart" uri="{C3380CC4-5D6E-409C-BE32-E72D297353CC}">
              <c16:uniqueId val="{00000001-C742-4924-8544-5EA35F4D3CCC}"/>
            </c:ext>
          </c:extLst>
        </c:ser>
        <c:dLbls>
          <c:showLegendKey val="0"/>
          <c:showVal val="0"/>
          <c:showCatName val="0"/>
          <c:showSerName val="0"/>
          <c:showPercent val="0"/>
          <c:showBubbleSize val="0"/>
        </c:dLbls>
        <c:gapWidth val="150"/>
        <c:axId val="380995584"/>
        <c:axId val="371814336"/>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2-4924-8544-5EA35F4D3CCC}"/>
                </c:ext>
              </c:extLst>
            </c:dLbl>
            <c:dLbl>
              <c:idx val="1"/>
              <c:layout>
                <c:manualLayout>
                  <c:x val="-6.6090452261306568E-2"/>
                  <c:y val="-5.92134383202099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42-4924-8544-5EA35F4D3CCC}"/>
                </c:ext>
              </c:extLst>
            </c:dLbl>
            <c:dLbl>
              <c:idx val="2"/>
              <c:layout>
                <c:manualLayout>
                  <c:x val="-7.4130653266331656E-2"/>
                  <c:y val="-4.8546771653543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42-4924-8544-5EA35F4D3CCC}"/>
                </c:ext>
              </c:extLst>
            </c:dLbl>
            <c:dLbl>
              <c:idx val="3"/>
              <c:layout>
                <c:manualLayout>
                  <c:x val="-6.6090452261306679E-2"/>
                  <c:y val="-5.3880104986876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42-4924-8544-5EA35F4D3CCC}"/>
                </c:ext>
              </c:extLst>
            </c:dLbl>
            <c:dLbl>
              <c:idx val="4"/>
              <c:layout>
                <c:manualLayout>
                  <c:x val="-8.1612886624466058E-2"/>
                  <c:y val="-6.32526197383222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42-4924-8544-5EA35F4D3CCC}"/>
                </c:ext>
              </c:extLst>
            </c:dLbl>
            <c:dLbl>
              <c:idx val="5"/>
              <c:layout>
                <c:manualLayout>
                  <c:x val="-8.4705882352941173E-2"/>
                  <c:y val="-6.2218179665340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42-4924-8544-5EA35F4D3CCC}"/>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2020</c:v>
                </c:pt>
                <c:pt idx="1">
                  <c:v>2021</c:v>
                </c:pt>
                <c:pt idx="2">
                  <c:v>2022</c:v>
                </c:pt>
                <c:pt idx="3">
                  <c:v>2023</c:v>
                </c:pt>
                <c:pt idx="4">
                  <c:v>2024</c:v>
                </c:pt>
              </c:numCache>
            </c:numRef>
          </c:cat>
          <c:val>
            <c:numRef>
              <c:f>Sheet1!$D$2:$D$7</c:f>
              <c:numCache>
                <c:formatCode>0.0</c:formatCode>
                <c:ptCount val="5"/>
                <c:pt idx="0">
                  <c:v>18.2</c:v>
                </c:pt>
                <c:pt idx="1">
                  <c:v>15.5</c:v>
                </c:pt>
                <c:pt idx="2">
                  <c:v>13.5</c:v>
                </c:pt>
                <c:pt idx="3">
                  <c:v>12.429167909334923</c:v>
                </c:pt>
                <c:pt idx="4">
                  <c:v>13.853867138538673</c:v>
                </c:pt>
              </c:numCache>
            </c:numRef>
          </c:val>
          <c:smooth val="0"/>
          <c:extLst>
            <c:ext xmlns:c16="http://schemas.microsoft.com/office/drawing/2014/chart" uri="{C3380CC4-5D6E-409C-BE32-E72D297353CC}">
              <c16:uniqueId val="{00000008-C742-4924-8544-5EA35F4D3CCC}"/>
            </c:ext>
          </c:extLst>
        </c:ser>
        <c:dLbls>
          <c:showLegendKey val="0"/>
          <c:showVal val="0"/>
          <c:showCatName val="0"/>
          <c:showSerName val="0"/>
          <c:showPercent val="0"/>
          <c:showBubbleSize val="0"/>
        </c:dLbls>
        <c:marker val="1"/>
        <c:smooth val="0"/>
        <c:axId val="380996608"/>
        <c:axId val="371814912"/>
      </c:lineChart>
      <c:catAx>
        <c:axId val="38099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4336"/>
        <c:crosses val="autoZero"/>
        <c:auto val="1"/>
        <c:lblAlgn val="ctr"/>
        <c:lblOffset val="0"/>
        <c:noMultiLvlLbl val="0"/>
      </c:catAx>
      <c:valAx>
        <c:axId val="371814336"/>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995584"/>
        <c:crosses val="autoZero"/>
        <c:crossBetween val="between"/>
        <c:majorUnit val="300"/>
      </c:valAx>
      <c:valAx>
        <c:axId val="371814912"/>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380996608"/>
        <c:crosses val="max"/>
        <c:crossBetween val="between"/>
      </c:valAx>
      <c:catAx>
        <c:axId val="380996608"/>
        <c:scaling>
          <c:orientation val="minMax"/>
        </c:scaling>
        <c:delete val="1"/>
        <c:axPos val="b"/>
        <c:numFmt formatCode="General" sourceLinked="1"/>
        <c:majorTickMark val="out"/>
        <c:minorTickMark val="none"/>
        <c:tickLblPos val="nextTo"/>
        <c:crossAx val="371814912"/>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69698451911769166"/>
        </c:manualLayout>
      </c:layout>
      <c:barChart>
        <c:barDir val="col"/>
        <c:grouping val="clustered"/>
        <c:varyColors val="0"/>
        <c:ser>
          <c:idx val="1"/>
          <c:order val="1"/>
          <c:tx>
            <c:strRef>
              <c:f>Sheet1!$C$1</c:f>
              <c:strCache>
                <c:ptCount val="1"/>
                <c:pt idx="0">
                  <c:v>Պետական հատված</c:v>
                </c:pt>
              </c:strCache>
            </c:strRef>
          </c:tx>
          <c:spPr>
            <a:solidFill>
              <a:srgbClr val="FAC090"/>
            </a:solidFill>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5.3164181135529844</c:v>
                </c:pt>
                <c:pt idx="1">
                  <c:v>5.2330498519945507</c:v>
                </c:pt>
                <c:pt idx="2">
                  <c:v>4.3703262361398032</c:v>
                </c:pt>
                <c:pt idx="3" formatCode="General">
                  <c:v>11.399999999999991</c:v>
                </c:pt>
                <c:pt idx="4">
                  <c:v>7.9112723991109988</c:v>
                </c:pt>
              </c:numCache>
            </c:numRef>
          </c:val>
          <c:extLst>
            <c:ext xmlns:c16="http://schemas.microsoft.com/office/drawing/2014/chart" uri="{C3380CC4-5D6E-409C-BE32-E72D297353CC}">
              <c16:uniqueId val="{00000000-DAAA-4980-81D6-54B4B1B8ABE5}"/>
            </c:ext>
          </c:extLst>
        </c:ser>
        <c:ser>
          <c:idx val="2"/>
          <c:order val="2"/>
          <c:tx>
            <c:strRef>
              <c:f>Sheet1!$D$1</c:f>
              <c:strCache>
                <c:ptCount val="1"/>
                <c:pt idx="0">
                  <c:v>Մասնավոր հատված</c:v>
                </c:pt>
              </c:strCache>
            </c:strRef>
          </c:tx>
          <c:spPr>
            <a:solidFill>
              <a:srgbClr val="4F81BD"/>
            </a:solidFill>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2.9599884084370132</c:v>
                </c:pt>
                <c:pt idx="1">
                  <c:v>8.3985042520254893</c:v>
                </c:pt>
                <c:pt idx="2">
                  <c:v>18.992795487230921</c:v>
                </c:pt>
                <c:pt idx="3">
                  <c:v>14.999999999999986</c:v>
                </c:pt>
                <c:pt idx="4">
                  <c:v>5.6639063198839779</c:v>
                </c:pt>
              </c:numCache>
            </c:numRef>
          </c:val>
          <c:extLst>
            <c:ext xmlns:c16="http://schemas.microsoft.com/office/drawing/2014/chart" uri="{C3380CC4-5D6E-409C-BE32-E72D297353CC}">
              <c16:uniqueId val="{00000001-DAAA-4980-81D6-54B4B1B8ABE5}"/>
            </c:ext>
          </c:extLst>
        </c:ser>
        <c:dLbls>
          <c:showLegendKey val="0"/>
          <c:showVal val="0"/>
          <c:showCatName val="0"/>
          <c:showSerName val="0"/>
          <c:showPercent val="0"/>
          <c:showBubbleSize val="0"/>
        </c:dLbls>
        <c:gapWidth val="150"/>
        <c:axId val="381023232"/>
        <c:axId val="371816640"/>
      </c:barChart>
      <c:lineChart>
        <c:grouping val="standard"/>
        <c:varyColors val="0"/>
        <c:ser>
          <c:idx val="0"/>
          <c:order val="0"/>
          <c:tx>
            <c:strRef>
              <c:f>Sheet1!$B$1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6.5331507474609168E-2"/>
                  <c:y val="-5.81498403990162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AA-4980-81D6-54B4B1B8ABE5}"/>
                </c:ext>
              </c:extLst>
            </c:dLbl>
            <c:dLbl>
              <c:idx val="1"/>
              <c:layout>
                <c:manualLayout>
                  <c:x val="-6.0672959358341078E-2"/>
                  <c:y val="-5.8149840399016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AA-4980-81D6-54B4B1B8ABE5}"/>
                </c:ext>
              </c:extLst>
            </c:dLbl>
            <c:dLbl>
              <c:idx val="2"/>
              <c:layout>
                <c:manualLayout>
                  <c:x val="-6.4492916646288784E-2"/>
                  <c:y val="-6.5145293354595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AA-4980-81D6-54B4B1B8ABE5}"/>
                </c:ext>
              </c:extLst>
            </c:dLbl>
            <c:dLbl>
              <c:idx val="3"/>
              <c:layout>
                <c:manualLayout>
                  <c:x val="-8.0248447204968945E-2"/>
                  <c:y val="-5.1154387443437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AA-4980-81D6-54B4B1B8ABE5}"/>
                </c:ext>
              </c:extLst>
            </c:dLbl>
            <c:dLbl>
              <c:idx val="4"/>
              <c:layout>
                <c:manualLayout>
                  <c:x val="-6.5942192008607625E-2"/>
                  <c:y val="-4.03747800150375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AA-4980-81D6-54B4B1B8ABE5}"/>
                </c:ext>
              </c:extLst>
            </c:dLbl>
            <c:dLbl>
              <c:idx val="5"/>
              <c:layout>
                <c:manualLayout>
                  <c:x val="-2.6128364389233955E-2"/>
                  <c:y val="-2.3172575621121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AA-4980-81D6-54B4B1B8ABE5}"/>
                </c:ext>
              </c:extLst>
            </c:dLbl>
            <c:dLbl>
              <c:idx val="6"/>
              <c:layout>
                <c:manualLayout>
                  <c:x val="-3.1532254120408859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AA-4980-81D6-54B4B1B8ABE5}"/>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3.8555232574053093</c:v>
                </c:pt>
                <c:pt idx="1">
                  <c:v>7.5544498091884691</c:v>
                </c:pt>
                <c:pt idx="2">
                  <c:v>15.46148878633629</c:v>
                </c:pt>
                <c:pt idx="3">
                  <c:v>14.599999999999994</c:v>
                </c:pt>
                <c:pt idx="4">
                  <c:v>6.3623636080801731</c:v>
                </c:pt>
              </c:numCache>
            </c:numRef>
          </c:val>
          <c:smooth val="0"/>
          <c:extLst>
            <c:ext xmlns:c16="http://schemas.microsoft.com/office/drawing/2014/chart" uri="{C3380CC4-5D6E-409C-BE32-E72D297353CC}">
              <c16:uniqueId val="{00000009-DAAA-4980-81D6-54B4B1B8ABE5}"/>
            </c:ext>
          </c:extLst>
        </c:ser>
        <c:dLbls>
          <c:showLegendKey val="0"/>
          <c:showVal val="0"/>
          <c:showCatName val="0"/>
          <c:showSerName val="0"/>
          <c:showPercent val="0"/>
          <c:showBubbleSize val="0"/>
        </c:dLbls>
        <c:marker val="1"/>
        <c:smooth val="0"/>
        <c:axId val="381023232"/>
        <c:axId val="371816640"/>
      </c:lineChart>
      <c:catAx>
        <c:axId val="381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6640"/>
        <c:crosses val="autoZero"/>
        <c:auto val="1"/>
        <c:lblAlgn val="ctr"/>
        <c:lblOffset val="0"/>
        <c:noMultiLvlLbl val="0"/>
      </c:catAx>
      <c:valAx>
        <c:axId val="371816640"/>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3232"/>
        <c:crosses val="autoZero"/>
        <c:crossBetween val="between"/>
        <c:majorUnit val="3"/>
      </c:valAx>
      <c:spPr>
        <a:solidFill>
          <a:schemeClr val="bg1"/>
        </a:solidFill>
        <a:ln>
          <a:noFill/>
        </a:ln>
        <a:effectLst/>
      </c:spPr>
    </c:plotArea>
    <c:legend>
      <c:legendPos val="b"/>
      <c:layout>
        <c:manualLayout>
          <c:xMode val="edge"/>
          <c:yMode val="edge"/>
          <c:x val="6.3659868603381103E-2"/>
          <c:y val="0.84690699077095954"/>
          <c:w val="0.9"/>
          <c:h val="0.144484746332206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5.5187083744875277E-2"/>
          <c:w val="0.84915654061760815"/>
          <c:h val="0.5227053140096618"/>
        </c:manualLayout>
      </c:layout>
      <c:barChart>
        <c:barDir val="col"/>
        <c:grouping val="clustered"/>
        <c:varyColors val="0"/>
        <c:ser>
          <c:idx val="1"/>
          <c:order val="0"/>
          <c:tx>
            <c:strRef>
              <c:f>Sheet1!$C$1</c:f>
              <c:strCache>
                <c:ptCount val="1"/>
                <c:pt idx="0">
                  <c:v>Զբաղվածներ, հազ. մարդ</c:v>
                </c:pt>
              </c:strCache>
            </c:strRef>
          </c:tx>
          <c:spPr>
            <a:solidFill>
              <a:srgbClr val="FAC090"/>
            </a:solidFill>
            <a:ln>
              <a:noFill/>
            </a:ln>
            <a:effectLst/>
          </c:spPr>
          <c:invertIfNegative val="0"/>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Sheet1!$C$2:$C$17</c:f>
              <c:numCache>
                <c:formatCode>0.0</c:formatCode>
                <c:ptCount val="11"/>
                <c:pt idx="0">
                  <c:v>1070.5</c:v>
                </c:pt>
                <c:pt idx="1">
                  <c:v>1142.4000000000001</c:v>
                </c:pt>
                <c:pt idx="2">
                  <c:v>1202.4000000000001</c:v>
                </c:pt>
                <c:pt idx="3">
                  <c:v>1141.2</c:v>
                </c:pt>
                <c:pt idx="4">
                  <c:v>1129.7</c:v>
                </c:pt>
                <c:pt idx="5">
                  <c:v>1211.4000000000001</c:v>
                </c:pt>
                <c:pt idx="6">
                  <c:v>1220.5607499999953</c:v>
                </c:pt>
                <c:pt idx="7">
                  <c:v>1177.0983652502096</c:v>
                </c:pt>
                <c:pt idx="8">
                  <c:v>1116.3654600562425</c:v>
                </c:pt>
                <c:pt idx="9">
                  <c:v>1190.9280000000001</c:v>
                </c:pt>
                <c:pt idx="10">
                  <c:v>1211.4345500014797</c:v>
                </c:pt>
              </c:numCache>
            </c:numRef>
          </c:val>
          <c:extLst>
            <c:ext xmlns:c16="http://schemas.microsoft.com/office/drawing/2014/chart" uri="{C3380CC4-5D6E-409C-BE32-E72D297353CC}">
              <c16:uniqueId val="{00000000-F385-45B1-A683-2F0744E39728}"/>
            </c:ext>
          </c:extLst>
        </c:ser>
        <c:ser>
          <c:idx val="2"/>
          <c:order val="1"/>
          <c:tx>
            <c:strRef>
              <c:f>Sheet1!$D$1</c:f>
              <c:strCache>
                <c:ptCount val="1"/>
                <c:pt idx="0">
                  <c:v>Գործազուրկներ, հազ. մարդ</c:v>
                </c:pt>
              </c:strCache>
            </c:strRef>
          </c:tx>
          <c:invertIfNegative val="0"/>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Sheet1!$D$2:$D$17</c:f>
              <c:numCache>
                <c:formatCode>0.0</c:formatCode>
                <c:ptCount val="11"/>
                <c:pt idx="0">
                  <c:v>186.4</c:v>
                </c:pt>
                <c:pt idx="1">
                  <c:v>170</c:v>
                </c:pt>
                <c:pt idx="2">
                  <c:v>158</c:v>
                </c:pt>
                <c:pt idx="3">
                  <c:v>165.8</c:v>
                </c:pt>
                <c:pt idx="4">
                  <c:v>179.6</c:v>
                </c:pt>
                <c:pt idx="5">
                  <c:v>160.69999999999999</c:v>
                </c:pt>
                <c:pt idx="6">
                  <c:v>167.16326234328997</c:v>
                </c:pt>
                <c:pt idx="7">
                  <c:v>177.44819294351973</c:v>
                </c:pt>
                <c:pt idx="8">
                  <c:v>204.36889999685977</c:v>
                </c:pt>
                <c:pt idx="9">
                  <c:v>189.98599999999999</c:v>
                </c:pt>
                <c:pt idx="10">
                  <c:v>185.62939999800011</c:v>
                </c:pt>
              </c:numCache>
            </c:numRef>
          </c:val>
          <c:extLst>
            <c:ext xmlns:c16="http://schemas.microsoft.com/office/drawing/2014/chart" uri="{C3380CC4-5D6E-409C-BE32-E72D297353CC}">
              <c16:uniqueId val="{00000001-F385-45B1-A683-2F0744E39728}"/>
            </c:ext>
          </c:extLst>
        </c:ser>
        <c:dLbls>
          <c:showLegendKey val="0"/>
          <c:showVal val="0"/>
          <c:showCatName val="0"/>
          <c:showSerName val="0"/>
          <c:showPercent val="0"/>
          <c:showBubbleSize val="0"/>
        </c:dLbls>
        <c:gapWidth val="150"/>
        <c:axId val="381025280"/>
        <c:axId val="381749504"/>
      </c:barChart>
      <c:lineChart>
        <c:grouping val="standard"/>
        <c:varyColors val="0"/>
        <c:ser>
          <c:idx val="3"/>
          <c:order val="2"/>
          <c:tx>
            <c:strRef>
              <c:f>Sheet1!$E$1</c:f>
              <c:strCache>
                <c:ptCount val="1"/>
                <c:pt idx="0">
                  <c:v>Գործազրկության մակարդակ, %, աջ առանցք</c:v>
                </c:pt>
              </c:strCache>
            </c:strRef>
          </c:tx>
          <c:spPr>
            <a:ln>
              <a:solidFill>
                <a:srgbClr val="1F497D"/>
              </a:solidFill>
            </a:ln>
          </c:spPr>
          <c:marker>
            <c:symbol val="diamond"/>
            <c:size val="7"/>
            <c:spPr>
              <a:solidFill>
                <a:srgbClr val="1F497D"/>
              </a:solidFill>
              <a:ln cap="sq">
                <a:solidFill>
                  <a:srgbClr val="1F497D"/>
                </a:solidFill>
              </a:ln>
            </c:spPr>
          </c:marker>
          <c:dLbls>
            <c:dLbl>
              <c:idx val="0"/>
              <c:layout>
                <c:manualLayout>
                  <c:x val="-6.9956638447243438E-2"/>
                  <c:y val="-5.08452747754356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85-45B1-A683-2F0744E39728}"/>
                </c:ext>
              </c:extLst>
            </c:dLbl>
            <c:dLbl>
              <c:idx val="1"/>
              <c:layout>
                <c:manualLayout>
                  <c:x val="-7.0648277162752959E-2"/>
                  <c:y val="-5.08452747754356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85-45B1-A683-2F0744E39728}"/>
                </c:ext>
              </c:extLst>
            </c:dLbl>
            <c:dLbl>
              <c:idx val="2"/>
              <c:layout>
                <c:manualLayout>
                  <c:x val="-6.743753871567211E-2"/>
                  <c:y val="-5.7746586024573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85-45B1-A683-2F0744E39728}"/>
                </c:ext>
              </c:extLst>
            </c:dLbl>
            <c:dLbl>
              <c:idx val="3"/>
              <c:layout>
                <c:manualLayout>
                  <c:x val="-6.8315175242780829E-2"/>
                  <c:y val="-5.7746586024573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85-45B1-A683-2F0744E39728}"/>
                </c:ext>
              </c:extLst>
            </c:dLbl>
            <c:dLbl>
              <c:idx val="4"/>
              <c:layout>
                <c:manualLayout>
                  <c:x val="-7.3291267045057326E-2"/>
                  <c:y val="-5.7746586024573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385-45B1-A683-2F0744E39728}"/>
                </c:ext>
              </c:extLst>
            </c:dLbl>
            <c:dLbl>
              <c:idx val="5"/>
              <c:layout>
                <c:manualLayout>
                  <c:x val="-6.6188231736364359E-2"/>
                  <c:y val="-7.1549208522847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85-45B1-A683-2F0744E39728}"/>
                </c:ext>
              </c:extLst>
            </c:dLbl>
            <c:dLbl>
              <c:idx val="6"/>
              <c:layout>
                <c:manualLayout>
                  <c:x val="-6.9801857051577001E-2"/>
                  <c:y val="-5.0845274775435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385-45B1-A683-2F0744E39728}"/>
                </c:ext>
              </c:extLst>
            </c:dLbl>
            <c:dLbl>
              <c:idx val="7"/>
              <c:layout>
                <c:manualLayout>
                  <c:x val="-6.2915710799416713E-2"/>
                  <c:y val="-5.7746586024573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385-45B1-A683-2F0744E39728}"/>
                </c:ext>
              </c:extLst>
            </c:dLbl>
            <c:spPr>
              <a:noFill/>
              <a:ln>
                <a:noFill/>
              </a:ln>
              <a:effectLst/>
            </c:spPr>
            <c:txPr>
              <a:bodyPr wrap="square" lIns="38100" tIns="19050" rIns="38100" bIns="19050" anchor="ctr">
                <a:spAutoFit/>
              </a:bodyPr>
              <a:lstStyle/>
              <a:p>
                <a:pPr>
                  <a:defRPr sz="800" b="1">
                    <a:latin typeface="GHEA Grapalat" panose="02000506050000020003" pitchFamily="50"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Sheet1!$E$2:$E$17</c:f>
              <c:numCache>
                <c:formatCode>0.0</c:formatCode>
                <c:ptCount val="11"/>
                <c:pt idx="0">
                  <c:v>14.8</c:v>
                </c:pt>
                <c:pt idx="1">
                  <c:v>13</c:v>
                </c:pt>
                <c:pt idx="2">
                  <c:v>11.6</c:v>
                </c:pt>
                <c:pt idx="3">
                  <c:v>12.7</c:v>
                </c:pt>
                <c:pt idx="4">
                  <c:v>13.71725349423356</c:v>
                </c:pt>
                <c:pt idx="5">
                  <c:v>11.711974345893156</c:v>
                </c:pt>
                <c:pt idx="6">
                  <c:v>12.045857883587482</c:v>
                </c:pt>
                <c:pt idx="7">
                  <c:v>13.100191489921473</c:v>
                </c:pt>
                <c:pt idx="8">
                  <c:v>15.473883786035907</c:v>
                </c:pt>
                <c:pt idx="9">
                  <c:v>13.757989273770848</c:v>
                </c:pt>
                <c:pt idx="10">
                  <c:v>13.287108295799191</c:v>
                </c:pt>
              </c:numCache>
            </c:numRef>
          </c:val>
          <c:smooth val="0"/>
          <c:extLst>
            <c:ext xmlns:c16="http://schemas.microsoft.com/office/drawing/2014/chart" uri="{C3380CC4-5D6E-409C-BE32-E72D297353CC}">
              <c16:uniqueId val="{0000000A-F385-45B1-A683-2F0744E39728}"/>
            </c:ext>
          </c:extLst>
        </c:ser>
        <c:dLbls>
          <c:showLegendKey val="0"/>
          <c:showVal val="0"/>
          <c:showCatName val="0"/>
          <c:showSerName val="0"/>
          <c:showPercent val="0"/>
          <c:showBubbleSize val="0"/>
        </c:dLbls>
        <c:marker val="1"/>
        <c:smooth val="0"/>
        <c:axId val="381025792"/>
        <c:axId val="381750080"/>
      </c:lineChart>
      <c:catAx>
        <c:axId val="38102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749504"/>
        <c:crosses val="autoZero"/>
        <c:auto val="1"/>
        <c:lblAlgn val="ctr"/>
        <c:lblOffset val="0"/>
        <c:noMultiLvlLbl val="0"/>
      </c:catAx>
      <c:valAx>
        <c:axId val="381749504"/>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5280"/>
        <c:crosses val="autoZero"/>
        <c:crossBetween val="between"/>
        <c:majorUnit val="300"/>
      </c:valAx>
      <c:valAx>
        <c:axId val="381750080"/>
        <c:scaling>
          <c:orientation val="minMax"/>
          <c:max val="30"/>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81025792"/>
        <c:crosses val="max"/>
        <c:crossBetween val="between"/>
      </c:valAx>
      <c:catAx>
        <c:axId val="381025792"/>
        <c:scaling>
          <c:orientation val="minMax"/>
        </c:scaling>
        <c:delete val="1"/>
        <c:axPos val="b"/>
        <c:numFmt formatCode="General" sourceLinked="1"/>
        <c:majorTickMark val="out"/>
        <c:minorTickMark val="none"/>
        <c:tickLblPos val="nextTo"/>
        <c:crossAx val="381750080"/>
        <c:crosses val="autoZero"/>
        <c:auto val="1"/>
        <c:lblAlgn val="ctr"/>
        <c:lblOffset val="100"/>
        <c:noMultiLvlLbl val="0"/>
      </c:catAx>
      <c:spPr>
        <a:solidFill>
          <a:schemeClr val="bg1"/>
        </a:solidFill>
        <a:ln>
          <a:noFill/>
        </a:ln>
        <a:effectLst/>
      </c:spPr>
    </c:plotArea>
    <c:legend>
      <c:legendPos val="b"/>
      <c:layout>
        <c:manualLayout>
          <c:xMode val="edge"/>
          <c:yMode val="edge"/>
          <c:x val="1.4277284638372661E-2"/>
          <c:y val="0.74615455676736064"/>
          <c:w val="0.96446433768357931"/>
          <c:h val="0.25384544323263947"/>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5020785445297604"/>
        </c:manualLayout>
      </c:layout>
      <c:barChart>
        <c:barDir val="col"/>
        <c:grouping val="clustered"/>
        <c:varyColors val="0"/>
        <c:ser>
          <c:idx val="1"/>
          <c:order val="1"/>
          <c:tx>
            <c:strRef>
              <c:f>Sheet1!$E$1</c:f>
              <c:strCache>
                <c:ptCount val="1"/>
                <c:pt idx="0">
                  <c:v>Պետական հատված</c:v>
                </c:pt>
              </c:strCache>
            </c:strRef>
          </c:tx>
          <c:spPr>
            <a:solidFill>
              <a:srgbClr val="FAC090"/>
            </a:solidFill>
            <a:effectLst/>
          </c:spPr>
          <c:invertIfNegative val="0"/>
          <c:cat>
            <c:multiLvlStrRef>
              <c:f>Sheet1!$A$2:$B$9</c:f>
            </c:multiLvlStrRef>
          </c:cat>
          <c:val>
            <c:numRef>
              <c:f>Sheet1!$E$2:$E$17</c:f>
              <c:numCache>
                <c:formatCode>0.0</c:formatCode>
                <c:ptCount val="4"/>
                <c:pt idx="0">
                  <c:v>10.166342987418716</c:v>
                </c:pt>
                <c:pt idx="1">
                  <c:v>9.9995315159622891</c:v>
                </c:pt>
                <c:pt idx="2">
                  <c:v>9.7938612881397091</c:v>
                </c:pt>
                <c:pt idx="3">
                  <c:v>7.9112723991109988</c:v>
                </c:pt>
              </c:numCache>
            </c:numRef>
          </c:val>
          <c:extLst>
            <c:ext xmlns:c16="http://schemas.microsoft.com/office/drawing/2014/chart" uri="{C3380CC4-5D6E-409C-BE32-E72D297353CC}">
              <c16:uniqueId val="{00000000-CDB1-4D13-9B27-FEE0B88B3955}"/>
            </c:ext>
          </c:extLst>
        </c:ser>
        <c:ser>
          <c:idx val="2"/>
          <c:order val="2"/>
          <c:tx>
            <c:strRef>
              <c:f>Sheet1!$F$1</c:f>
              <c:strCache>
                <c:ptCount val="1"/>
                <c:pt idx="0">
                  <c:v>Մասնավոր հատված</c:v>
                </c:pt>
              </c:strCache>
            </c:strRef>
          </c:tx>
          <c:spPr>
            <a:solidFill>
              <a:srgbClr val="4F81BD"/>
            </a:solidFill>
          </c:spPr>
          <c:invertIfNegative val="0"/>
          <c:cat>
            <c:multiLvlStrRef>
              <c:f>Sheet1!$A$2:$B$9</c:f>
            </c:multiLvlStrRef>
          </c:cat>
          <c:val>
            <c:numRef>
              <c:f>Sheet1!$F$2:$F$17</c:f>
              <c:numCache>
                <c:formatCode>0.0</c:formatCode>
                <c:ptCount val="4"/>
                <c:pt idx="0">
                  <c:v>7.2609859820444171</c:v>
                </c:pt>
                <c:pt idx="1">
                  <c:v>5.5748756639013379</c:v>
                </c:pt>
                <c:pt idx="2">
                  <c:v>5.5399401891130395</c:v>
                </c:pt>
                <c:pt idx="3">
                  <c:v>5.6639063198839779</c:v>
                </c:pt>
              </c:numCache>
            </c:numRef>
          </c:val>
          <c:extLst>
            <c:ext xmlns:c16="http://schemas.microsoft.com/office/drawing/2014/chart" uri="{C3380CC4-5D6E-409C-BE32-E72D297353CC}">
              <c16:uniqueId val="{00000001-CDB1-4D13-9B27-FEE0B88B3955}"/>
            </c:ext>
          </c:extLst>
        </c:ser>
        <c:dLbls>
          <c:showLegendKey val="0"/>
          <c:showVal val="0"/>
          <c:showCatName val="0"/>
          <c:showSerName val="0"/>
          <c:showPercent val="0"/>
          <c:showBubbleSize val="0"/>
        </c:dLbls>
        <c:gapWidth val="150"/>
        <c:axId val="382034944"/>
        <c:axId val="381751808"/>
      </c:barChart>
      <c:lineChart>
        <c:grouping val="standard"/>
        <c:varyColors val="0"/>
        <c:ser>
          <c:idx val="0"/>
          <c:order val="0"/>
          <c:tx>
            <c:strRef>
              <c:f>Sheet1!$D$1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7.4067031138578543E-2"/>
                  <c:y val="-5.08675545991533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B1-4D13-9B27-FEE0B88B3955}"/>
                </c:ext>
              </c:extLst>
            </c:dLbl>
            <c:dLbl>
              <c:idx val="1"/>
              <c:layout>
                <c:manualLayout>
                  <c:x val="-8.2065698526452957E-2"/>
                  <c:y val="-5.7812338675056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B1-4D13-9B27-FEE0B88B3955}"/>
                </c:ext>
              </c:extLst>
            </c:dLbl>
            <c:dLbl>
              <c:idx val="2"/>
              <c:layout>
                <c:manualLayout>
                  <c:x val="-7.7810697955600805E-2"/>
                  <c:y val="-5.0911027425919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B1-4D13-9B27-FEE0B88B3955}"/>
                </c:ext>
              </c:extLst>
            </c:dLbl>
            <c:dLbl>
              <c:idx val="3"/>
              <c:layout>
                <c:manualLayout>
                  <c:x val="-8.2291419063465654E-2"/>
                  <c:y val="-5.09110274259196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B1-4D13-9B27-FEE0B88B3955}"/>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Sheet1!$A$10:$B$17</c:f>
              <c:multiLvlStrCache>
                <c:ptCount val="4"/>
                <c:lvl>
                  <c:pt idx="0">
                    <c:v>I</c:v>
                  </c:pt>
                  <c:pt idx="1">
                    <c:v>I-II</c:v>
                  </c:pt>
                  <c:pt idx="2">
                    <c:v>I-III</c:v>
                  </c:pt>
                  <c:pt idx="3">
                    <c:v>I-IV</c:v>
                  </c:pt>
                </c:lvl>
                <c:lvl>
                  <c:pt idx="0">
                    <c:v>2024</c:v>
                  </c:pt>
                </c:lvl>
              </c:multiLvlStrCache>
            </c:multiLvlStrRef>
          </c:cat>
          <c:val>
            <c:numRef>
              <c:f>Sheet1!$D$2:$D$17</c:f>
              <c:numCache>
                <c:formatCode>0.0</c:formatCode>
                <c:ptCount val="4"/>
                <c:pt idx="0">
                  <c:v>8.1775942178626764</c:v>
                </c:pt>
                <c:pt idx="1">
                  <c:v>6.7515762732615059</c:v>
                </c:pt>
                <c:pt idx="2">
                  <c:v>6.6467774526330885</c:v>
                </c:pt>
                <c:pt idx="3">
                  <c:v>6.3623636080801731</c:v>
                </c:pt>
              </c:numCache>
            </c:numRef>
          </c:val>
          <c:smooth val="0"/>
          <c:extLst>
            <c:ext xmlns:c16="http://schemas.microsoft.com/office/drawing/2014/chart" uri="{C3380CC4-5D6E-409C-BE32-E72D297353CC}">
              <c16:uniqueId val="{00000006-CDB1-4D13-9B27-FEE0B88B3955}"/>
            </c:ext>
          </c:extLst>
        </c:ser>
        <c:dLbls>
          <c:showLegendKey val="0"/>
          <c:showVal val="0"/>
          <c:showCatName val="0"/>
          <c:showSerName val="0"/>
          <c:showPercent val="0"/>
          <c:showBubbleSize val="0"/>
        </c:dLbls>
        <c:marker val="1"/>
        <c:smooth val="0"/>
        <c:axId val="382034944"/>
        <c:axId val="381751808"/>
      </c:lineChart>
      <c:catAx>
        <c:axId val="382034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751808"/>
        <c:crosses val="autoZero"/>
        <c:auto val="1"/>
        <c:lblAlgn val="ctr"/>
        <c:lblOffset val="0"/>
        <c:noMultiLvlLbl val="0"/>
      </c:catAx>
      <c:valAx>
        <c:axId val="381751808"/>
        <c:scaling>
          <c:orientation val="minMax"/>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2034944"/>
        <c:crosses val="autoZero"/>
        <c:crossBetween val="between"/>
        <c:majorUnit val="6"/>
      </c:valAx>
      <c:spPr>
        <a:solidFill>
          <a:schemeClr val="bg1"/>
        </a:solidFill>
        <a:ln>
          <a:noFill/>
        </a:ln>
        <a:effectLst/>
      </c:spPr>
    </c:plotArea>
    <c:legend>
      <c:legendPos val="b"/>
      <c:layout>
        <c:manualLayout>
          <c:xMode val="edge"/>
          <c:yMode val="edge"/>
          <c:x val="1.6120114769347674E-2"/>
          <c:y val="0.77038250653450913"/>
          <c:w val="0.95704796467829212"/>
          <c:h val="0.2060003369144074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5494777114554229"/>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Sheet1!$D$2:$D$85</c:f>
              <c:numCache>
                <c:formatCode>0.0</c:formatCode>
                <c:ptCount val="60"/>
                <c:pt idx="0">
                  <c:v>0.27658563406973258</c:v>
                </c:pt>
                <c:pt idx="1">
                  <c:v>-0.54084569473241118</c:v>
                </c:pt>
                <c:pt idx="2">
                  <c:v>-0.11022336893752538</c:v>
                </c:pt>
                <c:pt idx="3">
                  <c:v>0.85542195074623351</c:v>
                </c:pt>
                <c:pt idx="4">
                  <c:v>1.1580085630596528</c:v>
                </c:pt>
                <c:pt idx="5">
                  <c:v>1.6775261712177212</c:v>
                </c:pt>
                <c:pt idx="6">
                  <c:v>1.5187898303232146</c:v>
                </c:pt>
                <c:pt idx="7">
                  <c:v>1.8167405331190878</c:v>
                </c:pt>
                <c:pt idx="8">
                  <c:v>1.4326844717312213</c:v>
                </c:pt>
                <c:pt idx="9">
                  <c:v>1.3441364663858479</c:v>
                </c:pt>
                <c:pt idx="10">
                  <c:v>1.5585891969706438</c:v>
                </c:pt>
                <c:pt idx="11">
                  <c:v>3.6638246566360237</c:v>
                </c:pt>
                <c:pt idx="12">
                  <c:v>4.5148886220006261</c:v>
                </c:pt>
                <c:pt idx="13">
                  <c:v>5.3267515218621924</c:v>
                </c:pt>
                <c:pt idx="14">
                  <c:v>5.7810093225161552</c:v>
                </c:pt>
                <c:pt idx="15">
                  <c:v>6.1569193415054002</c:v>
                </c:pt>
                <c:pt idx="16">
                  <c:v>5.9006948589342016</c:v>
                </c:pt>
                <c:pt idx="17">
                  <c:v>6.5046445234588646</c:v>
                </c:pt>
                <c:pt idx="18">
                  <c:v>8.2227275731544154</c:v>
                </c:pt>
                <c:pt idx="19">
                  <c:v>8.7823860822581139</c:v>
                </c:pt>
                <c:pt idx="20">
                  <c:v>8.8886539553763413</c:v>
                </c:pt>
                <c:pt idx="21">
                  <c:v>9.1040943851299545</c:v>
                </c:pt>
                <c:pt idx="22">
                  <c:v>9.5566762184085832</c:v>
                </c:pt>
                <c:pt idx="23">
                  <c:v>7.6754534627573037</c:v>
                </c:pt>
                <c:pt idx="24">
                  <c:v>7.0769205766379315</c:v>
                </c:pt>
                <c:pt idx="25">
                  <c:v>6.5432090002156116</c:v>
                </c:pt>
                <c:pt idx="26">
                  <c:v>7.3617969746003382</c:v>
                </c:pt>
                <c:pt idx="27">
                  <c:v>8.4252580519207356</c:v>
                </c:pt>
                <c:pt idx="28">
                  <c:v>8.9862917816955417</c:v>
                </c:pt>
                <c:pt idx="29">
                  <c:v>10.274467693331786</c:v>
                </c:pt>
                <c:pt idx="30">
                  <c:v>9.3216627279495867</c:v>
                </c:pt>
                <c:pt idx="31">
                  <c:v>9.1287829914562479</c:v>
                </c:pt>
                <c:pt idx="32">
                  <c:v>9.9151144159470022</c:v>
                </c:pt>
                <c:pt idx="33">
                  <c:v>9.5</c:v>
                </c:pt>
                <c:pt idx="34">
                  <c:v>8.8446621147540014</c:v>
                </c:pt>
                <c:pt idx="35">
                  <c:v>8.3026886372339987</c:v>
                </c:pt>
                <c:pt idx="36">
                  <c:v>8.0513101873760036</c:v>
                </c:pt>
                <c:pt idx="37">
                  <c:v>8.0504413480060038</c:v>
                </c:pt>
                <c:pt idx="38">
                  <c:v>5.4496798492630063</c:v>
                </c:pt>
                <c:pt idx="39">
                  <c:v>3.2368670906421926</c:v>
                </c:pt>
                <c:pt idx="40">
                  <c:v>1.3</c:v>
                </c:pt>
                <c:pt idx="41">
                  <c:v>-0.5</c:v>
                </c:pt>
                <c:pt idx="42">
                  <c:v>-0.10059999999999999</c:v>
                </c:pt>
                <c:pt idx="43">
                  <c:v>-0.16830000000000001</c:v>
                </c:pt>
                <c:pt idx="44">
                  <c:v>0.1</c:v>
                </c:pt>
                <c:pt idx="45">
                  <c:v>0.1</c:v>
                </c:pt>
                <c:pt idx="46">
                  <c:v>-0.5</c:v>
                </c:pt>
                <c:pt idx="47">
                  <c:v>-0.6</c:v>
                </c:pt>
                <c:pt idx="48">
                  <c:v>-0.9</c:v>
                </c:pt>
                <c:pt idx="49">
                  <c:v>-1.7</c:v>
                </c:pt>
                <c:pt idx="50">
                  <c:v>-1.2</c:v>
                </c:pt>
                <c:pt idx="51">
                  <c:v>-0.7</c:v>
                </c:pt>
                <c:pt idx="52">
                  <c:v>0.3</c:v>
                </c:pt>
                <c:pt idx="53">
                  <c:v>0.8</c:v>
                </c:pt>
                <c:pt idx="54">
                  <c:v>1.4</c:v>
                </c:pt>
                <c:pt idx="55">
                  <c:v>1.3</c:v>
                </c:pt>
                <c:pt idx="56">
                  <c:v>0.6</c:v>
                </c:pt>
                <c:pt idx="57">
                  <c:v>0.6</c:v>
                </c:pt>
                <c:pt idx="58">
                  <c:v>1.4</c:v>
                </c:pt>
                <c:pt idx="59">
                  <c:v>1.5</c:v>
                </c:pt>
              </c:numCache>
            </c:numRef>
          </c:val>
          <c:smooth val="0"/>
          <c:extLst>
            <c:ext xmlns:c16="http://schemas.microsoft.com/office/drawing/2014/chart" uri="{C3380CC4-5D6E-409C-BE32-E72D297353CC}">
              <c16:uniqueId val="{00000000-6605-4865-931E-CAF92A18CE7B}"/>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0.00</c:formatCode>
                <c:ptCount val="60"/>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10.5</c:v>
                </c:pt>
                <c:pt idx="35">
                  <c:v>10.75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8.75</c:v>
                </c:pt>
                <c:pt idx="49">
                  <c:v>8.75</c:v>
                </c:pt>
                <c:pt idx="50">
                  <c:v>8.5</c:v>
                </c:pt>
                <c:pt idx="51">
                  <c:v>8.25</c:v>
                </c:pt>
                <c:pt idx="52">
                  <c:v>8.25</c:v>
                </c:pt>
                <c:pt idx="53">
                  <c:v>8</c:v>
                </c:pt>
                <c:pt idx="54">
                  <c:v>7.75</c:v>
                </c:pt>
                <c:pt idx="55">
                  <c:v>7.75</c:v>
                </c:pt>
                <c:pt idx="56">
                  <c:v>7.5</c:v>
                </c:pt>
                <c:pt idx="57">
                  <c:v>7.25</c:v>
                </c:pt>
                <c:pt idx="58">
                  <c:v>7.25</c:v>
                </c:pt>
                <c:pt idx="59">
                  <c:v>7</c:v>
                </c:pt>
              </c:numCache>
            </c:numRef>
          </c:val>
          <c:smooth val="0"/>
          <c:extLst>
            <c:ext xmlns:c16="http://schemas.microsoft.com/office/drawing/2014/chart" uri="{C3380CC4-5D6E-409C-BE32-E72D297353CC}">
              <c16:uniqueId val="{00000001-6605-4865-931E-CAF92A18CE7B}"/>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Sheet1!$C$14:$C$85</c:f>
              <c:numCache>
                <c:formatCode>0.0</c:formatCode>
                <c:ptCount val="60"/>
                <c:pt idx="0">
                  <c:v>0.86538957196520983</c:v>
                </c:pt>
                <c:pt idx="1">
                  <c:v>0.77184062474053405</c:v>
                </c:pt>
                <c:pt idx="2">
                  <c:v>0.54227164049494547</c:v>
                </c:pt>
                <c:pt idx="3">
                  <c:v>1.1321822131247927</c:v>
                </c:pt>
                <c:pt idx="4">
                  <c:v>0.86253079378988673</c:v>
                </c:pt>
                <c:pt idx="5">
                  <c:v>0.77684596156544217</c:v>
                </c:pt>
                <c:pt idx="6">
                  <c:v>0.8340682821257559</c:v>
                </c:pt>
                <c:pt idx="7">
                  <c:v>1.0666176019744</c:v>
                </c:pt>
                <c:pt idx="8">
                  <c:v>1.3397678509690962</c:v>
                </c:pt>
                <c:pt idx="9">
                  <c:v>1.677154081686254</c:v>
                </c:pt>
                <c:pt idx="10">
                  <c:v>1.9837670848593518</c:v>
                </c:pt>
                <c:pt idx="11">
                  <c:v>3.6204833935339735</c:v>
                </c:pt>
                <c:pt idx="12">
                  <c:v>4.6779235852640682</c:v>
                </c:pt>
                <c:pt idx="13">
                  <c:v>5.4846481634119186</c:v>
                </c:pt>
                <c:pt idx="14">
                  <c:v>6.6300845552899972</c:v>
                </c:pt>
                <c:pt idx="15">
                  <c:v>6.7626395686116751</c:v>
                </c:pt>
                <c:pt idx="16">
                  <c:v>7.4114337608134804</c:v>
                </c:pt>
                <c:pt idx="17">
                  <c:v>7.8323845176300608</c:v>
                </c:pt>
                <c:pt idx="18">
                  <c:v>8.1093537485616309</c:v>
                </c:pt>
                <c:pt idx="19">
                  <c:v>8.0379242186285609</c:v>
                </c:pt>
                <c:pt idx="20">
                  <c:v>7.9880734583744442</c:v>
                </c:pt>
                <c:pt idx="21">
                  <c:v>7.8765202676341914</c:v>
                </c:pt>
                <c:pt idx="22">
                  <c:v>8.3772656385054063</c:v>
                </c:pt>
                <c:pt idx="23">
                  <c:v>7.2509011281681808</c:v>
                </c:pt>
                <c:pt idx="24">
                  <c:v>6.60162670741569</c:v>
                </c:pt>
                <c:pt idx="25">
                  <c:v>6.3614506423955959</c:v>
                </c:pt>
                <c:pt idx="26">
                  <c:v>6.9671454857929405</c:v>
                </c:pt>
                <c:pt idx="27">
                  <c:v>7.9799047833968757</c:v>
                </c:pt>
                <c:pt idx="28">
                  <c:v>8.3564098161367042</c:v>
                </c:pt>
                <c:pt idx="29">
                  <c:v>9.4404331247470736</c:v>
                </c:pt>
                <c:pt idx="30">
                  <c:v>10.10041008820204</c:v>
                </c:pt>
                <c:pt idx="31">
                  <c:v>10.230227924035546</c:v>
                </c:pt>
                <c:pt idx="32">
                  <c:v>10.540276376631112</c:v>
                </c:pt>
                <c:pt idx="33">
                  <c:v>10.488322377082326</c:v>
                </c:pt>
                <c:pt idx="34">
                  <c:v>9.8756503499295007</c:v>
                </c:pt>
                <c:pt idx="35">
                  <c:v>9.4793414473783173</c:v>
                </c:pt>
                <c:pt idx="36">
                  <c:v>9.0991561824239966</c:v>
                </c:pt>
                <c:pt idx="37">
                  <c:v>8.3569861398929959</c:v>
                </c:pt>
                <c:pt idx="38">
                  <c:v>6.4066571555730008</c:v>
                </c:pt>
                <c:pt idx="39">
                  <c:v>4.3045803295163267</c:v>
                </c:pt>
                <c:pt idx="40">
                  <c:v>3.0865032447455718</c:v>
                </c:pt>
                <c:pt idx="41">
                  <c:v>1.4518285160379776</c:v>
                </c:pt>
                <c:pt idx="42">
                  <c:v>0.59949055114458361</c:v>
                </c:pt>
                <c:pt idx="43">
                  <c:v>0.35313145780541788</c:v>
                </c:pt>
                <c:pt idx="44">
                  <c:v>-8.0847536483943827E-2</c:v>
                </c:pt>
                <c:pt idx="45">
                  <c:v>-4.6504096578033227E-2</c:v>
                </c:pt>
                <c:pt idx="46">
                  <c:v>-0.24390438070011555</c:v>
                </c:pt>
                <c:pt idx="47">
                  <c:v>-0.39353895237825043</c:v>
                </c:pt>
                <c:pt idx="48">
                  <c:v>-0.44083532430917671</c:v>
                </c:pt>
                <c:pt idx="49">
                  <c:v>-0.65415810312974543</c:v>
                </c:pt>
                <c:pt idx="50">
                  <c:v>-0.70986287761924416</c:v>
                </c:pt>
                <c:pt idx="51">
                  <c:v>-0.53692140460677251</c:v>
                </c:pt>
                <c:pt idx="52">
                  <c:v>-0.29513107679599671</c:v>
                </c:pt>
                <c:pt idx="53">
                  <c:v>3.9019835541694192E-2</c:v>
                </c:pt>
                <c:pt idx="54">
                  <c:v>0.25996830691931905</c:v>
                </c:pt>
                <c:pt idx="55">
                  <c:v>0.27869516588769727</c:v>
                </c:pt>
                <c:pt idx="56">
                  <c:v>0.70080604258279777</c:v>
                </c:pt>
                <c:pt idx="57">
                  <c:v>0.63894478316535697</c:v>
                </c:pt>
                <c:pt idx="58">
                  <c:v>0.7907904170000819</c:v>
                </c:pt>
                <c:pt idx="59">
                  <c:v>0.94130385266983296</c:v>
                </c:pt>
              </c:numCache>
            </c:numRef>
          </c:val>
          <c:smooth val="0"/>
          <c:extLst>
            <c:ext xmlns:c16="http://schemas.microsoft.com/office/drawing/2014/chart" uri="{C3380CC4-5D6E-409C-BE32-E72D297353CC}">
              <c16:uniqueId val="{00000002-6605-4865-931E-CAF92A18CE7B}"/>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0.10738889071920403"/>
          <c:y val="0.19806025100104807"/>
          <c:w val="0.85425685544537056"/>
          <c:h val="0.49774367794469376"/>
        </c:manualLayout>
      </c:layout>
      <c:lineChart>
        <c:grouping val="standard"/>
        <c:varyColors val="0"/>
        <c:ser>
          <c:idx val="0"/>
          <c:order val="0"/>
          <c:tx>
            <c:strRef>
              <c:f>Sheet1!$C$1</c:f>
              <c:strCache>
                <c:ptCount val="1"/>
                <c:pt idx="0">
                  <c:v>ԱՄՆ</c:v>
                </c:pt>
              </c:strCache>
            </c:strRef>
          </c:tx>
          <c:spPr>
            <a:ln w="22225" cap="rnd">
              <a:solidFill>
                <a:srgbClr val="44546A"/>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Sheet1!$C$2:$C$85</c:f>
              <c:numCache>
                <c:formatCode>0.0</c:formatCode>
                <c:ptCount val="60"/>
                <c:pt idx="0">
                  <c:v>2.4900000000000002</c:v>
                </c:pt>
                <c:pt idx="1">
                  <c:v>2.33</c:v>
                </c:pt>
                <c:pt idx="2">
                  <c:v>1.54</c:v>
                </c:pt>
                <c:pt idx="3">
                  <c:v>0.33</c:v>
                </c:pt>
                <c:pt idx="4">
                  <c:v>0.1</c:v>
                </c:pt>
                <c:pt idx="5">
                  <c:v>0.6</c:v>
                </c:pt>
                <c:pt idx="6">
                  <c:v>0.6</c:v>
                </c:pt>
                <c:pt idx="7">
                  <c:v>1.3</c:v>
                </c:pt>
                <c:pt idx="8">
                  <c:v>1.4</c:v>
                </c:pt>
                <c:pt idx="9">
                  <c:v>1.2</c:v>
                </c:pt>
                <c:pt idx="10">
                  <c:v>1.2</c:v>
                </c:pt>
                <c:pt idx="11">
                  <c:v>1.4</c:v>
                </c:pt>
                <c:pt idx="12">
                  <c:v>1.4</c:v>
                </c:pt>
                <c:pt idx="13">
                  <c:v>1.7</c:v>
                </c:pt>
                <c:pt idx="14">
                  <c:v>2.6</c:v>
                </c:pt>
                <c:pt idx="15">
                  <c:v>4.2</c:v>
                </c:pt>
                <c:pt idx="16">
                  <c:v>5</c:v>
                </c:pt>
                <c:pt idx="17">
                  <c:v>5.4</c:v>
                </c:pt>
                <c:pt idx="18">
                  <c:v>5.4</c:v>
                </c:pt>
                <c:pt idx="19">
                  <c:v>5.3</c:v>
                </c:pt>
                <c:pt idx="20">
                  <c:v>5.4</c:v>
                </c:pt>
                <c:pt idx="21">
                  <c:v>6.2</c:v>
                </c:pt>
                <c:pt idx="22">
                  <c:v>6.8</c:v>
                </c:pt>
                <c:pt idx="23">
                  <c:v>7</c:v>
                </c:pt>
                <c:pt idx="24">
                  <c:v>7.5</c:v>
                </c:pt>
                <c:pt idx="25">
                  <c:v>7.9</c:v>
                </c:pt>
                <c:pt idx="26">
                  <c:v>8.5</c:v>
                </c:pt>
                <c:pt idx="27">
                  <c:v>8.3000000000000007</c:v>
                </c:pt>
                <c:pt idx="28">
                  <c:v>8.6</c:v>
                </c:pt>
                <c:pt idx="29">
                  <c:v>9.1</c:v>
                </c:pt>
                <c:pt idx="30">
                  <c:v>8.5</c:v>
                </c:pt>
                <c:pt idx="31">
                  <c:v>8.3000000000000007</c:v>
                </c:pt>
                <c:pt idx="32">
                  <c:v>8.1999999999999993</c:v>
                </c:pt>
                <c:pt idx="33">
                  <c:v>7.7</c:v>
                </c:pt>
                <c:pt idx="34">
                  <c:v>7.1</c:v>
                </c:pt>
                <c:pt idx="35">
                  <c:v>6.5</c:v>
                </c:pt>
                <c:pt idx="36">
                  <c:v>6.4</c:v>
                </c:pt>
                <c:pt idx="37">
                  <c:v>6</c:v>
                </c:pt>
                <c:pt idx="38">
                  <c:v>5</c:v>
                </c:pt>
                <c:pt idx="39">
                  <c:v>4.9000000000000004</c:v>
                </c:pt>
                <c:pt idx="40">
                  <c:v>4.05</c:v>
                </c:pt>
                <c:pt idx="41">
                  <c:v>2.97</c:v>
                </c:pt>
                <c:pt idx="42">
                  <c:v>3.2</c:v>
                </c:pt>
                <c:pt idx="43">
                  <c:v>3.7</c:v>
                </c:pt>
                <c:pt idx="44">
                  <c:v>3.7</c:v>
                </c:pt>
                <c:pt idx="45">
                  <c:v>3.2</c:v>
                </c:pt>
                <c:pt idx="46">
                  <c:v>3.1</c:v>
                </c:pt>
                <c:pt idx="47">
                  <c:v>3.4</c:v>
                </c:pt>
                <c:pt idx="48">
                  <c:v>3.1</c:v>
                </c:pt>
                <c:pt idx="49">
                  <c:v>3.2</c:v>
                </c:pt>
                <c:pt idx="50">
                  <c:v>3.5</c:v>
                </c:pt>
                <c:pt idx="51">
                  <c:v>3.4</c:v>
                </c:pt>
                <c:pt idx="52">
                  <c:v>3.3</c:v>
                </c:pt>
                <c:pt idx="53">
                  <c:v>3</c:v>
                </c:pt>
                <c:pt idx="54">
                  <c:v>2.9</c:v>
                </c:pt>
                <c:pt idx="55">
                  <c:v>2.5</c:v>
                </c:pt>
                <c:pt idx="56">
                  <c:v>2.4</c:v>
                </c:pt>
                <c:pt idx="57" formatCode="General">
                  <c:v>2.6</c:v>
                </c:pt>
                <c:pt idx="58" formatCode="General">
                  <c:v>2.7</c:v>
                </c:pt>
                <c:pt idx="59" formatCode="General">
                  <c:v>2.9</c:v>
                </c:pt>
              </c:numCache>
            </c:numRef>
          </c:val>
          <c:smooth val="0"/>
          <c:extLst>
            <c:ext xmlns:c16="http://schemas.microsoft.com/office/drawing/2014/chart" uri="{C3380CC4-5D6E-409C-BE32-E72D297353CC}">
              <c16:uniqueId val="{00000000-58CE-483F-9D13-7C6A4F2CFD44}"/>
            </c:ext>
          </c:extLst>
        </c:ser>
        <c:ser>
          <c:idx val="1"/>
          <c:order val="1"/>
          <c:tx>
            <c:strRef>
              <c:f>Sheet1!$D$1</c:f>
              <c:strCache>
                <c:ptCount val="1"/>
                <c:pt idx="0">
                  <c:v>ԵԳ</c:v>
                </c:pt>
              </c:strCache>
            </c:strRef>
          </c:tx>
          <c:spPr>
            <a:ln w="22225" cap="rnd">
              <a:solidFill>
                <a:srgbClr val="5B9BD5"/>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Sheet1!$D$2:$D$85</c:f>
              <c:numCache>
                <c:formatCode>General</c:formatCode>
                <c:ptCount val="60"/>
                <c:pt idx="0">
                  <c:v>1.4</c:v>
                </c:pt>
                <c:pt idx="1">
                  <c:v>1.2</c:v>
                </c:pt>
                <c:pt idx="2">
                  <c:v>0.7</c:v>
                </c:pt>
                <c:pt idx="3">
                  <c:v>0.3</c:v>
                </c:pt>
                <c:pt idx="4">
                  <c:v>0.1</c:v>
                </c:pt>
                <c:pt idx="5">
                  <c:v>0.3</c:v>
                </c:pt>
                <c:pt idx="6">
                  <c:v>0.4</c:v>
                </c:pt>
                <c:pt idx="7">
                  <c:v>-0.2</c:v>
                </c:pt>
                <c:pt idx="8">
                  <c:v>-0.3</c:v>
                </c:pt>
                <c:pt idx="9">
                  <c:v>-0.3</c:v>
                </c:pt>
                <c:pt idx="10">
                  <c:v>-0.3</c:v>
                </c:pt>
                <c:pt idx="11">
                  <c:v>-0.3</c:v>
                </c:pt>
                <c:pt idx="12">
                  <c:v>0.9</c:v>
                </c:pt>
                <c:pt idx="13">
                  <c:v>0.9</c:v>
                </c:pt>
                <c:pt idx="14">
                  <c:v>1.3</c:v>
                </c:pt>
                <c:pt idx="15">
                  <c:v>1.6</c:v>
                </c:pt>
                <c:pt idx="16">
                  <c:v>2</c:v>
                </c:pt>
                <c:pt idx="17">
                  <c:v>1.9</c:v>
                </c:pt>
                <c:pt idx="18">
                  <c:v>2.2000000000000002</c:v>
                </c:pt>
                <c:pt idx="19">
                  <c:v>3</c:v>
                </c:pt>
                <c:pt idx="20">
                  <c:v>3.4</c:v>
                </c:pt>
                <c:pt idx="21">
                  <c:v>4.0999999999999996</c:v>
                </c:pt>
                <c:pt idx="22">
                  <c:v>4.9000000000000004</c:v>
                </c:pt>
                <c:pt idx="23">
                  <c:v>5</c:v>
                </c:pt>
                <c:pt idx="24">
                  <c:v>5.0999999999999996</c:v>
                </c:pt>
                <c:pt idx="25">
                  <c:v>5.9</c:v>
                </c:pt>
                <c:pt idx="26">
                  <c:v>7.4</c:v>
                </c:pt>
                <c:pt idx="27">
                  <c:v>7.4</c:v>
                </c:pt>
                <c:pt idx="28">
                  <c:v>8.1</c:v>
                </c:pt>
                <c:pt idx="29">
                  <c:v>8.6</c:v>
                </c:pt>
                <c:pt idx="30">
                  <c:v>8.9</c:v>
                </c:pt>
                <c:pt idx="31">
                  <c:v>9.1</c:v>
                </c:pt>
                <c:pt idx="32">
                  <c:v>9.9</c:v>
                </c:pt>
                <c:pt idx="33">
                  <c:v>10.6</c:v>
                </c:pt>
                <c:pt idx="34">
                  <c:v>10.1</c:v>
                </c:pt>
                <c:pt idx="35">
                  <c:v>9.1999999999999993</c:v>
                </c:pt>
                <c:pt idx="36" formatCode="0.0">
                  <c:v>8.6</c:v>
                </c:pt>
                <c:pt idx="37" formatCode="0.0">
                  <c:v>8.5</c:v>
                </c:pt>
                <c:pt idx="38" formatCode="0.0">
                  <c:v>6.9</c:v>
                </c:pt>
                <c:pt idx="39" formatCode="0.0">
                  <c:v>7</c:v>
                </c:pt>
                <c:pt idx="40" formatCode="0.0">
                  <c:v>6.1</c:v>
                </c:pt>
                <c:pt idx="41" formatCode="0.0">
                  <c:v>5.5</c:v>
                </c:pt>
                <c:pt idx="42" formatCode="0.0">
                  <c:v>5.3</c:v>
                </c:pt>
                <c:pt idx="43" formatCode="0.0">
                  <c:v>5.3</c:v>
                </c:pt>
                <c:pt idx="44" formatCode="0.0">
                  <c:v>4.3</c:v>
                </c:pt>
                <c:pt idx="45" formatCode="0.0">
                  <c:v>2.9</c:v>
                </c:pt>
                <c:pt idx="46" formatCode="0.0">
                  <c:v>2.4</c:v>
                </c:pt>
                <c:pt idx="47" formatCode="0.0">
                  <c:v>2.9</c:v>
                </c:pt>
                <c:pt idx="48" formatCode="0.0">
                  <c:v>2.8</c:v>
                </c:pt>
                <c:pt idx="49" formatCode="0.0">
                  <c:v>2.6</c:v>
                </c:pt>
                <c:pt idx="50" formatCode="0.0">
                  <c:v>2.4</c:v>
                </c:pt>
                <c:pt idx="51" formatCode="0.0">
                  <c:v>2.4</c:v>
                </c:pt>
                <c:pt idx="52" formatCode="0.0">
                  <c:v>2.6</c:v>
                </c:pt>
                <c:pt idx="53" formatCode="0.0">
                  <c:v>2.5</c:v>
                </c:pt>
                <c:pt idx="54" formatCode="0.0">
                  <c:v>2.6</c:v>
                </c:pt>
                <c:pt idx="55" formatCode="0.0">
                  <c:v>2.2000000000000002</c:v>
                </c:pt>
                <c:pt idx="56" formatCode="0.0">
                  <c:v>1.7</c:v>
                </c:pt>
                <c:pt idx="57">
                  <c:v>2</c:v>
                </c:pt>
                <c:pt idx="58">
                  <c:v>2.2000000000000002</c:v>
                </c:pt>
                <c:pt idx="59">
                  <c:v>2.4</c:v>
                </c:pt>
              </c:numCache>
            </c:numRef>
          </c:val>
          <c:smooth val="0"/>
          <c:extLst>
            <c:ext xmlns:c16="http://schemas.microsoft.com/office/drawing/2014/chart" uri="{C3380CC4-5D6E-409C-BE32-E72D297353CC}">
              <c16:uniqueId val="{00000001-58CE-483F-9D13-7C6A4F2CFD44}"/>
            </c:ext>
          </c:extLst>
        </c:ser>
        <c:ser>
          <c:idx val="2"/>
          <c:order val="2"/>
          <c:tx>
            <c:strRef>
              <c:f>Sheet1!$E$1</c:f>
              <c:strCache>
                <c:ptCount val="1"/>
                <c:pt idx="0">
                  <c:v>Չինաստան</c:v>
                </c:pt>
              </c:strCache>
            </c:strRef>
          </c:tx>
          <c:spPr>
            <a:ln w="22225" cap="rnd">
              <a:solidFill>
                <a:sysClr val="window" lastClr="FFFFFF">
                  <a:lumMod val="50000"/>
                </a:sys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Sheet1!$E$2:$E$85</c:f>
              <c:numCache>
                <c:formatCode>General</c:formatCode>
                <c:ptCount val="60"/>
                <c:pt idx="0">
                  <c:v>5.4</c:v>
                </c:pt>
                <c:pt idx="1">
                  <c:v>5.2</c:v>
                </c:pt>
                <c:pt idx="2">
                  <c:v>4.3</c:v>
                </c:pt>
                <c:pt idx="3">
                  <c:v>3.3</c:v>
                </c:pt>
                <c:pt idx="4">
                  <c:v>2.4</c:v>
                </c:pt>
                <c:pt idx="5">
                  <c:v>2.5</c:v>
                </c:pt>
                <c:pt idx="6">
                  <c:v>2.7</c:v>
                </c:pt>
                <c:pt idx="7">
                  <c:v>2.4</c:v>
                </c:pt>
                <c:pt idx="8">
                  <c:v>1.7</c:v>
                </c:pt>
                <c:pt idx="9">
                  <c:v>0.5</c:v>
                </c:pt>
                <c:pt idx="10">
                  <c:v>-0.5</c:v>
                </c:pt>
                <c:pt idx="11">
                  <c:v>0.2</c:v>
                </c:pt>
                <c:pt idx="12">
                  <c:v>-0.3</c:v>
                </c:pt>
                <c:pt idx="13">
                  <c:v>-0.2</c:v>
                </c:pt>
                <c:pt idx="14">
                  <c:v>0.4</c:v>
                </c:pt>
                <c:pt idx="15">
                  <c:v>0.9</c:v>
                </c:pt>
                <c:pt idx="16">
                  <c:v>1.3</c:v>
                </c:pt>
                <c:pt idx="17">
                  <c:v>1.1000000000000001</c:v>
                </c:pt>
                <c:pt idx="18">
                  <c:v>1</c:v>
                </c:pt>
                <c:pt idx="19">
                  <c:v>0.8</c:v>
                </c:pt>
                <c:pt idx="20">
                  <c:v>0.7</c:v>
                </c:pt>
                <c:pt idx="21">
                  <c:v>1.5</c:v>
                </c:pt>
                <c:pt idx="22">
                  <c:v>2.2999999999999998</c:v>
                </c:pt>
                <c:pt idx="23">
                  <c:v>1.5</c:v>
                </c:pt>
                <c:pt idx="24">
                  <c:v>0.9</c:v>
                </c:pt>
                <c:pt idx="25">
                  <c:v>0.9</c:v>
                </c:pt>
                <c:pt idx="26">
                  <c:v>1.5</c:v>
                </c:pt>
                <c:pt idx="27">
                  <c:v>2.1</c:v>
                </c:pt>
                <c:pt idx="28">
                  <c:v>2.1</c:v>
                </c:pt>
                <c:pt idx="29">
                  <c:v>2.5</c:v>
                </c:pt>
                <c:pt idx="30">
                  <c:v>2.7</c:v>
                </c:pt>
                <c:pt idx="31">
                  <c:v>2.5</c:v>
                </c:pt>
                <c:pt idx="32">
                  <c:v>2.8</c:v>
                </c:pt>
                <c:pt idx="33">
                  <c:v>2.1</c:v>
                </c:pt>
                <c:pt idx="34">
                  <c:v>1.6</c:v>
                </c:pt>
                <c:pt idx="35">
                  <c:v>1.8</c:v>
                </c:pt>
                <c:pt idx="36" formatCode="0.0">
                  <c:v>2.1</c:v>
                </c:pt>
                <c:pt idx="37" formatCode="0.0">
                  <c:v>1</c:v>
                </c:pt>
                <c:pt idx="38" formatCode="0.0">
                  <c:v>0.7</c:v>
                </c:pt>
                <c:pt idx="39" formatCode="0.0">
                  <c:v>0.1</c:v>
                </c:pt>
                <c:pt idx="40" formatCode="0.0">
                  <c:v>0.2</c:v>
                </c:pt>
                <c:pt idx="41" formatCode="0.0">
                  <c:v>0</c:v>
                </c:pt>
                <c:pt idx="42" formatCode="0.0">
                  <c:v>-0.3</c:v>
                </c:pt>
                <c:pt idx="43" formatCode="0.0">
                  <c:v>0.1</c:v>
                </c:pt>
                <c:pt idx="44" formatCode="0.0">
                  <c:v>0</c:v>
                </c:pt>
                <c:pt idx="45" formatCode="0.0">
                  <c:v>-0.2</c:v>
                </c:pt>
                <c:pt idx="46" formatCode="0.0">
                  <c:v>-0.5</c:v>
                </c:pt>
                <c:pt idx="47" formatCode="0.0">
                  <c:v>-0.3</c:v>
                </c:pt>
                <c:pt idx="48" formatCode="0.0">
                  <c:v>-0.8</c:v>
                </c:pt>
                <c:pt idx="49" formatCode="0.0">
                  <c:v>0.7</c:v>
                </c:pt>
                <c:pt idx="50" formatCode="0.0">
                  <c:v>0.1</c:v>
                </c:pt>
                <c:pt idx="51" formatCode="0.0">
                  <c:v>0.3</c:v>
                </c:pt>
                <c:pt idx="52" formatCode="0.0">
                  <c:v>0.3</c:v>
                </c:pt>
                <c:pt idx="53" formatCode="0.0">
                  <c:v>0.2</c:v>
                </c:pt>
                <c:pt idx="54" formatCode="0.0">
                  <c:v>0.5</c:v>
                </c:pt>
                <c:pt idx="55" formatCode="0.0">
                  <c:v>0.6</c:v>
                </c:pt>
                <c:pt idx="56" formatCode="0.0">
                  <c:v>0.4</c:v>
                </c:pt>
                <c:pt idx="57">
                  <c:v>0.3</c:v>
                </c:pt>
                <c:pt idx="58">
                  <c:v>0.2</c:v>
                </c:pt>
                <c:pt idx="59">
                  <c:v>0.1</c:v>
                </c:pt>
              </c:numCache>
            </c:numRef>
          </c:val>
          <c:smooth val="0"/>
          <c:extLst>
            <c:ext xmlns:c16="http://schemas.microsoft.com/office/drawing/2014/chart" uri="{C3380CC4-5D6E-409C-BE32-E72D297353CC}">
              <c16:uniqueId val="{00000002-58CE-483F-9D13-7C6A4F2CFD44}"/>
            </c:ext>
          </c:extLst>
        </c:ser>
        <c:ser>
          <c:idx val="3"/>
          <c:order val="3"/>
          <c:tx>
            <c:strRef>
              <c:f>Sheet1!$F$1</c:f>
              <c:strCache>
                <c:ptCount val="1"/>
                <c:pt idx="0">
                  <c:v>ՌԴ</c:v>
                </c:pt>
              </c:strCache>
            </c:strRef>
          </c:tx>
          <c:spPr>
            <a:ln w="22225" cap="rnd">
              <a:solidFill>
                <a:srgbClr val="ED7D31">
                  <a:lumMod val="60000"/>
                  <a:lumOff val="40000"/>
                </a:srgb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Sheet1!$F$2:$F$85</c:f>
              <c:numCache>
                <c:formatCode>0.0</c:formatCode>
                <c:ptCount val="60"/>
                <c:pt idx="0">
                  <c:v>2.4238930000000001</c:v>
                </c:pt>
                <c:pt idx="1">
                  <c:v>2.3117209999999999</c:v>
                </c:pt>
                <c:pt idx="2">
                  <c:v>2.546287</c:v>
                </c:pt>
                <c:pt idx="3">
                  <c:v>3.098436</c:v>
                </c:pt>
                <c:pt idx="4">
                  <c:v>3.0265110000000002</c:v>
                </c:pt>
                <c:pt idx="5">
                  <c:v>3.2118850000000001</c:v>
                </c:pt>
                <c:pt idx="6">
                  <c:v>3.3663940000000001</c:v>
                </c:pt>
                <c:pt idx="7">
                  <c:v>3.5736240000000001</c:v>
                </c:pt>
                <c:pt idx="8">
                  <c:v>3.6669890000000001</c:v>
                </c:pt>
                <c:pt idx="9">
                  <c:v>3.9775870000000002</c:v>
                </c:pt>
                <c:pt idx="10">
                  <c:v>4.4234419999999997</c:v>
                </c:pt>
                <c:pt idx="11">
                  <c:v>4.912471</c:v>
                </c:pt>
                <c:pt idx="12">
                  <c:v>5.1946070000000004</c:v>
                </c:pt>
                <c:pt idx="13">
                  <c:v>5.6664250000000003</c:v>
                </c:pt>
                <c:pt idx="14">
                  <c:v>5.7820220000000004</c:v>
                </c:pt>
                <c:pt idx="15">
                  <c:v>5.5197440000000002</c:v>
                </c:pt>
                <c:pt idx="16">
                  <c:v>6.0143519999999997</c:v>
                </c:pt>
                <c:pt idx="17">
                  <c:v>6.5115259999999999</c:v>
                </c:pt>
                <c:pt idx="18">
                  <c:v>6.4690690000000002</c:v>
                </c:pt>
                <c:pt idx="19">
                  <c:v>6.6927440000000002</c:v>
                </c:pt>
                <c:pt idx="20">
                  <c:v>7.4080859999999999</c:v>
                </c:pt>
                <c:pt idx="21">
                  <c:v>8.1353340000000003</c:v>
                </c:pt>
                <c:pt idx="22">
                  <c:v>8.4037670000000002</c:v>
                </c:pt>
                <c:pt idx="23">
                  <c:v>8.3930150000000001</c:v>
                </c:pt>
                <c:pt idx="24">
                  <c:v>8.73</c:v>
                </c:pt>
                <c:pt idx="25" formatCode="General">
                  <c:v>9.1999999999999993</c:v>
                </c:pt>
                <c:pt idx="26" formatCode="General">
                  <c:v>16.7</c:v>
                </c:pt>
                <c:pt idx="27" formatCode="General">
                  <c:v>17.8</c:v>
                </c:pt>
                <c:pt idx="28" formatCode="General">
                  <c:v>17.100000000000001</c:v>
                </c:pt>
                <c:pt idx="29" formatCode="General">
                  <c:v>15.9</c:v>
                </c:pt>
                <c:pt idx="30" formatCode="General">
                  <c:v>15.1</c:v>
                </c:pt>
                <c:pt idx="31" formatCode="General">
                  <c:v>14.3</c:v>
                </c:pt>
                <c:pt idx="32" formatCode="General">
                  <c:v>13.7</c:v>
                </c:pt>
                <c:pt idx="33" formatCode="General">
                  <c:v>12.6</c:v>
                </c:pt>
                <c:pt idx="34">
                  <c:v>12</c:v>
                </c:pt>
                <c:pt idx="35" formatCode="General">
                  <c:v>11.9</c:v>
                </c:pt>
                <c:pt idx="36">
                  <c:v>11.8</c:v>
                </c:pt>
                <c:pt idx="37">
                  <c:v>11</c:v>
                </c:pt>
                <c:pt idx="38">
                  <c:v>3.5</c:v>
                </c:pt>
                <c:pt idx="39">
                  <c:v>2.2999999999999998</c:v>
                </c:pt>
                <c:pt idx="40">
                  <c:v>2.5</c:v>
                </c:pt>
                <c:pt idx="41">
                  <c:v>3.2</c:v>
                </c:pt>
                <c:pt idx="42">
                  <c:v>4.3</c:v>
                </c:pt>
                <c:pt idx="43">
                  <c:v>5.2</c:v>
                </c:pt>
                <c:pt idx="44">
                  <c:v>6</c:v>
                </c:pt>
                <c:pt idx="45">
                  <c:v>6.7</c:v>
                </c:pt>
                <c:pt idx="46">
                  <c:v>7.5</c:v>
                </c:pt>
                <c:pt idx="47">
                  <c:v>7.4</c:v>
                </c:pt>
                <c:pt idx="48">
                  <c:v>7.4</c:v>
                </c:pt>
                <c:pt idx="49">
                  <c:v>7.7</c:v>
                </c:pt>
                <c:pt idx="50">
                  <c:v>7.7</c:v>
                </c:pt>
                <c:pt idx="51">
                  <c:v>7.8</c:v>
                </c:pt>
                <c:pt idx="52">
                  <c:v>8.3000000000000007</c:v>
                </c:pt>
                <c:pt idx="53">
                  <c:v>8.6</c:v>
                </c:pt>
                <c:pt idx="54">
                  <c:v>9.1</c:v>
                </c:pt>
                <c:pt idx="55">
                  <c:v>9.1</c:v>
                </c:pt>
                <c:pt idx="56">
                  <c:v>8.6</c:v>
                </c:pt>
                <c:pt idx="57" formatCode="General">
                  <c:v>8.5</c:v>
                </c:pt>
                <c:pt idx="58" formatCode="General">
                  <c:v>8.9</c:v>
                </c:pt>
                <c:pt idx="59" formatCode="General">
                  <c:v>9.5</c:v>
                </c:pt>
              </c:numCache>
            </c:numRef>
          </c:val>
          <c:smooth val="0"/>
          <c:extLst>
            <c:ext xmlns:c16="http://schemas.microsoft.com/office/drawing/2014/chart" uri="{C3380CC4-5D6E-409C-BE32-E72D297353CC}">
              <c16:uniqueId val="{00000003-58CE-483F-9D13-7C6A4F2CFD44}"/>
            </c:ext>
          </c:extLst>
        </c:ser>
        <c:dLbls>
          <c:showLegendKey val="0"/>
          <c:showVal val="0"/>
          <c:showCatName val="0"/>
          <c:showSerName val="0"/>
          <c:showPercent val="0"/>
          <c:showBubbleSize val="0"/>
        </c:dLbls>
        <c:smooth val="0"/>
        <c:axId val="1913055536"/>
        <c:axId val="1913058800"/>
      </c:lineChart>
      <c:catAx>
        <c:axId val="1913055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800"/>
        <c:crosses val="autoZero"/>
        <c:auto val="1"/>
        <c:lblAlgn val="ctr"/>
        <c:lblOffset val="100"/>
        <c:noMultiLvlLbl val="0"/>
      </c:catAx>
      <c:valAx>
        <c:axId val="19130588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553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 ամսյա գնաճը</a:t>
            </a:r>
            <a:r>
              <a:rPr lang="en-US" sz="1080" b="0"/>
              <a:t>,</a:t>
            </a:r>
            <a:r>
              <a:rPr lang="en-US" sz="1080" b="0" baseline="0"/>
              <a:t> %</a:t>
            </a:r>
            <a:endParaRPr lang="en-US" sz="1080" b="0"/>
          </a:p>
        </c:rich>
      </c:tx>
      <c:layout>
        <c:manualLayout>
          <c:xMode val="edge"/>
          <c:yMode val="edge"/>
          <c:x val="0.2866320901504078"/>
          <c:y val="5.5555555555555558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5190599501422155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Sheet1!$D$28:$D$71</c:f>
              <c:numCache>
                <c:formatCode>0.0</c:formatCode>
                <c:ptCount val="20"/>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pt idx="10">
                  <c:v>5.0969480000000003</c:v>
                </c:pt>
                <c:pt idx="11">
                  <c:v>3.7204000000000002</c:v>
                </c:pt>
                <c:pt idx="12">
                  <c:v>1.9252499999999997</c:v>
                </c:pt>
                <c:pt idx="13">
                  <c:v>-2.0762499999999999</c:v>
                </c:pt>
                <c:pt idx="14">
                  <c:v>-1.17025</c:v>
                </c:pt>
                <c:pt idx="15">
                  <c:v>-1.8119999999999998</c:v>
                </c:pt>
                <c:pt idx="16">
                  <c:v>-2.31616</c:v>
                </c:pt>
                <c:pt idx="17">
                  <c:v>-0.28952</c:v>
                </c:pt>
                <c:pt idx="18">
                  <c:v>-0.41359999999999997</c:v>
                </c:pt>
                <c:pt idx="19">
                  <c:v>0.82719999999999994</c:v>
                </c:pt>
              </c:numCache>
            </c:numRef>
          </c:val>
          <c:extLst>
            <c:ext xmlns:c16="http://schemas.microsoft.com/office/drawing/2014/chart" uri="{C3380CC4-5D6E-409C-BE32-E72D297353CC}">
              <c16:uniqueId val="{00000000-F9DE-4176-9835-C032B3F3DE75}"/>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Sheet1!$E$28:$E$71</c:f>
              <c:numCache>
                <c:formatCode>0.0</c:formatCode>
                <c:ptCount val="20"/>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pt idx="10">
                  <c:v>0.39664629999999995</c:v>
                </c:pt>
                <c:pt idx="11">
                  <c:v>0.39664629999999995</c:v>
                </c:pt>
                <c:pt idx="12">
                  <c:v>0.31872</c:v>
                </c:pt>
                <c:pt idx="13">
                  <c:v>0.33024000000000003</c:v>
                </c:pt>
                <c:pt idx="14">
                  <c:v>0.31872</c:v>
                </c:pt>
                <c:pt idx="15">
                  <c:v>0.32256000000000001</c:v>
                </c:pt>
                <c:pt idx="16">
                  <c:v>0.33596000000000004</c:v>
                </c:pt>
                <c:pt idx="17">
                  <c:v>0.21791999999999997</c:v>
                </c:pt>
                <c:pt idx="18">
                  <c:v>0.18613999999999997</c:v>
                </c:pt>
                <c:pt idx="19">
                  <c:v>0.17251999999999998</c:v>
                </c:pt>
              </c:numCache>
            </c:numRef>
          </c:val>
          <c:extLst>
            <c:ext xmlns:c16="http://schemas.microsoft.com/office/drawing/2014/chart" uri="{C3380CC4-5D6E-409C-BE32-E72D297353CC}">
              <c16:uniqueId val="{00000001-F9DE-4176-9835-C032B3F3DE75}"/>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Sheet1!$F$28:$F$71</c:f>
              <c:numCache>
                <c:formatCode>0.0</c:formatCode>
                <c:ptCount val="20"/>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pt idx="10">
                  <c:v>1.79901</c:v>
                </c:pt>
                <c:pt idx="11">
                  <c:v>1.57691</c:v>
                </c:pt>
                <c:pt idx="12">
                  <c:v>1.06996</c:v>
                </c:pt>
                <c:pt idx="13">
                  <c:v>6.9780000000000009E-2</c:v>
                </c:pt>
                <c:pt idx="14">
                  <c:v>0</c:v>
                </c:pt>
                <c:pt idx="15">
                  <c:v>2.3259999999999999E-2</c:v>
                </c:pt>
                <c:pt idx="16">
                  <c:v>-2.1680000000000001E-2</c:v>
                </c:pt>
                <c:pt idx="17">
                  <c:v>-4.3360000000000003E-2</c:v>
                </c:pt>
                <c:pt idx="18">
                  <c:v>-0.36856</c:v>
                </c:pt>
                <c:pt idx="19">
                  <c:v>-0.39024000000000003</c:v>
                </c:pt>
              </c:numCache>
            </c:numRef>
          </c:val>
          <c:extLst>
            <c:ext xmlns:c16="http://schemas.microsoft.com/office/drawing/2014/chart" uri="{C3380CC4-5D6E-409C-BE32-E72D297353CC}">
              <c16:uniqueId val="{00000002-F9DE-4176-9835-C032B3F3DE75}"/>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Sheet1!$G$28:$G$71</c:f>
              <c:numCache>
                <c:formatCode>0.0</c:formatCode>
                <c:ptCount val="20"/>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pt idx="10">
                  <c:v>2.6013600000000001</c:v>
                </c:pt>
                <c:pt idx="11">
                  <c:v>2.6013600000000001</c:v>
                </c:pt>
                <c:pt idx="12">
                  <c:v>2.109</c:v>
                </c:pt>
                <c:pt idx="13">
                  <c:v>1.3708499999999999</c:v>
                </c:pt>
                <c:pt idx="14">
                  <c:v>1.1248</c:v>
                </c:pt>
                <c:pt idx="15">
                  <c:v>1.0545</c:v>
                </c:pt>
                <c:pt idx="16">
                  <c:v>0.81050000000000011</c:v>
                </c:pt>
                <c:pt idx="17">
                  <c:v>0.87534000000000001</c:v>
                </c:pt>
                <c:pt idx="18">
                  <c:v>1.1671199999999999</c:v>
                </c:pt>
                <c:pt idx="19">
                  <c:v>0.81050000000000011</c:v>
                </c:pt>
              </c:numCache>
            </c:numRef>
          </c:val>
          <c:extLst>
            <c:ext xmlns:c16="http://schemas.microsoft.com/office/drawing/2014/chart" uri="{C3380CC4-5D6E-409C-BE32-E72D297353CC}">
              <c16:uniqueId val="{00000003-F9DE-4176-9835-C032B3F3DE75}"/>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F9DE-4176-9835-C032B3F3DE75}"/>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F9DE-4176-9835-C032B3F3DE75}"/>
              </c:ext>
            </c:extLst>
          </c:dPt>
          <c:dLbls>
            <c:dLbl>
              <c:idx val="13"/>
              <c:layout>
                <c:manualLayout>
                  <c:x val="-7.22856648906912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9DE-4176-9835-C032B3F3DE75}"/>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9DE-4176-9835-C032B3F3DE7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Sheet1!$C$28:$C$71</c:f>
              <c:numCache>
                <c:formatCode>0.0</c:formatCode>
                <c:ptCount val="20"/>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pt idx="10">
                  <c:v>9.8939643000000004</c:v>
                </c:pt>
                <c:pt idx="11">
                  <c:v>8.2953162999999996</c:v>
                </c:pt>
                <c:pt idx="12">
                  <c:v>5.4</c:v>
                </c:pt>
                <c:pt idx="13">
                  <c:v>-0.5</c:v>
                </c:pt>
                <c:pt idx="14">
                  <c:v>0.1</c:v>
                </c:pt>
                <c:pt idx="15">
                  <c:v>-0.6</c:v>
                </c:pt>
                <c:pt idx="16">
                  <c:v>-1.2</c:v>
                </c:pt>
                <c:pt idx="17">
                  <c:v>0.8</c:v>
                </c:pt>
                <c:pt idx="18">
                  <c:v>0.6</c:v>
                </c:pt>
                <c:pt idx="19">
                  <c:v>1.5</c:v>
                </c:pt>
              </c:numCache>
            </c:numRef>
          </c:val>
          <c:smooth val="0"/>
          <c:extLst>
            <c:ext xmlns:c16="http://schemas.microsoft.com/office/drawing/2014/chart" uri="{C3380CC4-5D6E-409C-BE32-E72D297353CC}">
              <c16:uniqueId val="{00000008-F9DE-4176-9835-C032B3F3DE75}"/>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29028022694767946"/>
          <c:y val="2.2222222222222223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502323548468575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Sheet1!$D$2:$D$71</c:f>
              <c:numCache>
                <c:formatCode>0.0</c:formatCode>
                <c:ptCount val="20"/>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pt idx="10">
                  <c:v>5.0597440000000002</c:v>
                </c:pt>
                <c:pt idx="11">
                  <c:v>4.8365200000000002</c:v>
                </c:pt>
                <c:pt idx="12">
                  <c:v>3.05775</c:v>
                </c:pt>
                <c:pt idx="13">
                  <c:v>1.0947499999999999</c:v>
                </c:pt>
                <c:pt idx="14">
                  <c:v>0.26424999999999998</c:v>
                </c:pt>
                <c:pt idx="15">
                  <c:v>-0.18875</c:v>
                </c:pt>
                <c:pt idx="16">
                  <c:v>-2.60568</c:v>
                </c:pt>
                <c:pt idx="17">
                  <c:v>-1.8198400000000001</c:v>
                </c:pt>
                <c:pt idx="18">
                  <c:v>-1.2407999999999999</c:v>
                </c:pt>
                <c:pt idx="19">
                  <c:v>-0.82719999999999994</c:v>
                </c:pt>
              </c:numCache>
            </c:numRef>
          </c:val>
          <c:extLst>
            <c:ext xmlns:c16="http://schemas.microsoft.com/office/drawing/2014/chart" uri="{C3380CC4-5D6E-409C-BE32-E72D297353CC}">
              <c16:uniqueId val="{00000000-4EBC-4C06-B2EA-D9F007BB0007}"/>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Sheet1!$E$2:$E$71</c:f>
              <c:numCache>
                <c:formatCode>0.0</c:formatCode>
                <c:ptCount val="20"/>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pt idx="10">
                  <c:v>0.35653599999999996</c:v>
                </c:pt>
                <c:pt idx="11">
                  <c:v>0.36544939999999998</c:v>
                </c:pt>
                <c:pt idx="12">
                  <c:v>0.34943999999999997</c:v>
                </c:pt>
                <c:pt idx="13">
                  <c:v>0.33024000000000003</c:v>
                </c:pt>
                <c:pt idx="14">
                  <c:v>0.32640000000000002</c:v>
                </c:pt>
                <c:pt idx="15">
                  <c:v>0.32640000000000002</c:v>
                </c:pt>
                <c:pt idx="16">
                  <c:v>0.33596000000000004</c:v>
                </c:pt>
                <c:pt idx="17">
                  <c:v>0.30418000000000001</c:v>
                </c:pt>
                <c:pt idx="18">
                  <c:v>0.26785999999999999</c:v>
                </c:pt>
                <c:pt idx="19">
                  <c:v>0.24516000000000002</c:v>
                </c:pt>
              </c:numCache>
            </c:numRef>
          </c:val>
          <c:extLst>
            <c:ext xmlns:c16="http://schemas.microsoft.com/office/drawing/2014/chart" uri="{C3380CC4-5D6E-409C-BE32-E72D297353CC}">
              <c16:uniqueId val="{00000001-4EBC-4C06-B2EA-D9F007BB0007}"/>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Sheet1!$F$2:$F$71</c:f>
              <c:numCache>
                <c:formatCode>0.0</c:formatCode>
                <c:ptCount val="20"/>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pt idx="10">
                  <c:v>1.5102799999999998</c:v>
                </c:pt>
                <c:pt idx="11">
                  <c:v>1.5547</c:v>
                </c:pt>
                <c:pt idx="12">
                  <c:v>1.25604</c:v>
                </c:pt>
                <c:pt idx="13">
                  <c:v>0.76757999999999993</c:v>
                </c:pt>
                <c:pt idx="14">
                  <c:v>0.51172000000000006</c:v>
                </c:pt>
                <c:pt idx="15">
                  <c:v>0.39541999999999999</c:v>
                </c:pt>
                <c:pt idx="16">
                  <c:v>8.6720000000000005E-2</c:v>
                </c:pt>
                <c:pt idx="17">
                  <c:v>2.1680000000000001E-2</c:v>
                </c:pt>
                <c:pt idx="18">
                  <c:v>-8.6720000000000005E-2</c:v>
                </c:pt>
                <c:pt idx="19">
                  <c:v>-0.17344000000000001</c:v>
                </c:pt>
              </c:numCache>
            </c:numRef>
          </c:val>
          <c:extLst>
            <c:ext xmlns:c16="http://schemas.microsoft.com/office/drawing/2014/chart" uri="{C3380CC4-5D6E-409C-BE32-E72D297353CC}">
              <c16:uniqueId val="{00000002-4EBC-4C06-B2EA-D9F007BB0007}"/>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Sheet1!$G$2:$G$71</c:f>
              <c:numCache>
                <c:formatCode>0.0</c:formatCode>
                <c:ptCount val="20"/>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pt idx="10">
                  <c:v>1.62585</c:v>
                </c:pt>
                <c:pt idx="11">
                  <c:v>1.8787600000000004</c:v>
                </c:pt>
                <c:pt idx="12">
                  <c:v>2.4253499999999999</c:v>
                </c:pt>
                <c:pt idx="13">
                  <c:v>2.0035499999999997</c:v>
                </c:pt>
                <c:pt idx="14">
                  <c:v>1.7575000000000001</c:v>
                </c:pt>
                <c:pt idx="15">
                  <c:v>1.5817499999999998</c:v>
                </c:pt>
                <c:pt idx="16">
                  <c:v>0.97260000000000002</c:v>
                </c:pt>
                <c:pt idx="17">
                  <c:v>0.90776000000000001</c:v>
                </c:pt>
                <c:pt idx="18">
                  <c:v>0.97260000000000002</c:v>
                </c:pt>
                <c:pt idx="19">
                  <c:v>0.97260000000000002</c:v>
                </c:pt>
              </c:numCache>
            </c:numRef>
          </c:val>
          <c:extLst>
            <c:ext xmlns:c16="http://schemas.microsoft.com/office/drawing/2014/chart" uri="{C3380CC4-5D6E-409C-BE32-E72D297353CC}">
              <c16:uniqueId val="{00000003-4EBC-4C06-B2EA-D9F007BB0007}"/>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4EBC-4C06-B2EA-D9F007BB0007}"/>
              </c:ext>
            </c:extLst>
          </c:dPt>
          <c:dLbls>
            <c:dLbl>
              <c:idx val="8"/>
              <c:layout>
                <c:manualLayout>
                  <c:x val="-0.10828359029971553"/>
                  <c:y val="-1.8708223972003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BC-4C06-B2EA-D9F007BB0007}"/>
                </c:ext>
              </c:extLst>
            </c:dLbl>
            <c:dLbl>
              <c:idx val="9"/>
              <c:layout>
                <c:manualLayout>
                  <c:x val="-8.8313451836484591E-2"/>
                  <c:y val="-6.87082239720035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BC-4C06-B2EA-D9F007BB0007}"/>
                </c:ext>
              </c:extLst>
            </c:dLbl>
            <c:dLbl>
              <c:idx val="10"/>
              <c:layout>
                <c:manualLayout>
                  <c:x val="-7.6816445848460563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BC-4C06-B2EA-D9F007BB0007}"/>
                </c:ext>
              </c:extLst>
            </c:dLbl>
            <c:dLbl>
              <c:idx val="11"/>
              <c:layout>
                <c:manualLayout>
                  <c:x val="-7.5618841058041397E-2"/>
                  <c:y val="-6.3152668416447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BC-4C06-B2EA-D9F007BB0007}"/>
                </c:ext>
              </c:extLst>
            </c:dLbl>
            <c:dLbl>
              <c:idx val="12"/>
              <c:layout>
                <c:manualLayout>
                  <c:x val="-5.7085828343313445E-2"/>
                  <c:y val="-7.98193350831146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BC-4C06-B2EA-D9F007BB0007}"/>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BC-4C06-B2EA-D9F007BB0007}"/>
                </c:ext>
              </c:extLst>
            </c:dLbl>
            <c:dLbl>
              <c:idx val="16"/>
              <c:layout>
                <c:manualLayout>
                  <c:x val="-3.969069734546669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EBC-4C06-B2EA-D9F007BB0007}"/>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Sheet1!$C$2:$C$71</c:f>
              <c:numCache>
                <c:formatCode>0.0</c:formatCode>
                <c:ptCount val="20"/>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pt idx="10">
                  <c:v>8.5524100000000001</c:v>
                </c:pt>
                <c:pt idx="11">
                  <c:v>8.6354293999999996</c:v>
                </c:pt>
                <c:pt idx="12">
                  <c:v>7.2</c:v>
                </c:pt>
                <c:pt idx="13">
                  <c:v>4.2</c:v>
                </c:pt>
                <c:pt idx="14">
                  <c:v>2.8</c:v>
                </c:pt>
                <c:pt idx="15">
                  <c:v>2</c:v>
                </c:pt>
                <c:pt idx="16">
                  <c:v>-1.2</c:v>
                </c:pt>
                <c:pt idx="17">
                  <c:v>-0.6</c:v>
                </c:pt>
                <c:pt idx="18">
                  <c:v>0</c:v>
                </c:pt>
                <c:pt idx="19">
                  <c:v>0.3</c:v>
                </c:pt>
              </c:numCache>
            </c:numRef>
          </c:val>
          <c:smooth val="0"/>
          <c:extLst>
            <c:ext xmlns:c16="http://schemas.microsoft.com/office/drawing/2014/chart" uri="{C3380CC4-5D6E-409C-BE32-E72D297353CC}">
              <c16:uniqueId val="{0000000C-4EBC-4C06-B2EA-D9F007BB0007}"/>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82C9-45F7-A168-3EFAC4EBEDD4}"/>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82C9-45F7-A168-3EFAC4EBEDD4}"/>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82C9-45F7-A168-3EFAC4EBEDD4}"/>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82C9-45F7-A168-3EFAC4EBEDD4}"/>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82C9-45F7-A168-3EFAC4EBEDD4}"/>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82C9-45F7-A168-3EFAC4EBEDD4}"/>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82C9-45F7-A168-3EFAC4EBEDD4}"/>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Sheet1!$B$2:$B$73</c:f>
              <c:numCache>
                <c:formatCode>General</c:formatCode>
                <c:ptCount val="48"/>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numCache>
            </c:numRef>
          </c:cat>
          <c:val>
            <c:numRef>
              <c:f>Sheet1!$I$2:$I$73</c:f>
              <c:numCache>
                <c:formatCode>General</c:formatCode>
                <c:ptCount val="48"/>
              </c:numCache>
            </c:numRef>
          </c:val>
          <c:extLst>
            <c:ext xmlns:c16="http://schemas.microsoft.com/office/drawing/2014/chart" uri="{C3380CC4-5D6E-409C-BE32-E72D297353CC}">
              <c16:uniqueId val="{00000000-C435-45C0-B573-2983121D24ED}"/>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Sheet1!$C$2:$C$85</c:f>
              <c:numCache>
                <c:formatCode>0.00</c:formatCode>
                <c:ptCount val="60"/>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formatCode="0.0">
                  <c:v>10</c:v>
                </c:pt>
                <c:pt idx="33" formatCode="0.0">
                  <c:v>10</c:v>
                </c:pt>
                <c:pt idx="34">
                  <c:v>10.483333333333333</c:v>
                </c:pt>
                <c:pt idx="35">
                  <c:v>10.64516129032258</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8.75</c:v>
                </c:pt>
                <c:pt idx="49">
                  <c:v>8.75</c:v>
                </c:pt>
                <c:pt idx="50">
                  <c:v>8.5</c:v>
                </c:pt>
                <c:pt idx="51">
                  <c:v>8.25</c:v>
                </c:pt>
                <c:pt idx="52">
                  <c:v>8.25</c:v>
                </c:pt>
                <c:pt idx="53">
                  <c:v>8</c:v>
                </c:pt>
                <c:pt idx="54">
                  <c:v>7.75</c:v>
                </c:pt>
                <c:pt idx="55">
                  <c:v>7.75</c:v>
                </c:pt>
                <c:pt idx="56">
                  <c:v>7.5</c:v>
                </c:pt>
                <c:pt idx="57">
                  <c:v>7.25</c:v>
                </c:pt>
                <c:pt idx="58">
                  <c:v>7.25</c:v>
                </c:pt>
                <c:pt idx="59">
                  <c:v>7</c:v>
                </c:pt>
              </c:numCache>
            </c:numRef>
          </c:val>
          <c:smooth val="0"/>
          <c:extLst>
            <c:ext xmlns:c16="http://schemas.microsoft.com/office/drawing/2014/chart" uri="{C3380CC4-5D6E-409C-BE32-E72D297353CC}">
              <c16:uniqueId val="{00000001-C435-45C0-B573-2983121D24ED}"/>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Sheet1!$D$2:$D$73</c:f>
            </c:numRef>
          </c:val>
          <c:smooth val="0"/>
          <c:extLst>
            <c:ext xmlns:c16="http://schemas.microsoft.com/office/drawing/2014/chart" uri="{C3380CC4-5D6E-409C-BE32-E72D297353CC}">
              <c16:uniqueId val="{00000002-C435-45C0-B573-2983121D24ED}"/>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0.0</c:formatCode>
                <c:ptCount val="60"/>
                <c:pt idx="0">
                  <c:v>5.9264000000000001</c:v>
                </c:pt>
                <c:pt idx="1">
                  <c:v>5.8771000000000004</c:v>
                </c:pt>
                <c:pt idx="2">
                  <c:v>5.7816999999999998</c:v>
                </c:pt>
                <c:pt idx="3">
                  <c:v>5.7742000000000004</c:v>
                </c:pt>
                <c:pt idx="4">
                  <c:v>5.8630000000000004</c:v>
                </c:pt>
                <c:pt idx="5">
                  <c:v>5.5404999999999998</c:v>
                </c:pt>
                <c:pt idx="6">
                  <c:v>5.5384000000000002</c:v>
                </c:pt>
                <c:pt idx="7">
                  <c:v>5.6143000000000001</c:v>
                </c:pt>
                <c:pt idx="8">
                  <c:v>5.5647000000000002</c:v>
                </c:pt>
                <c:pt idx="9">
                  <c:v>5.7388000000000003</c:v>
                </c:pt>
                <c:pt idx="10">
                  <c:v>6.0198</c:v>
                </c:pt>
                <c:pt idx="11">
                  <c:v>6.4890999999999996</c:v>
                </c:pt>
                <c:pt idx="12">
                  <c:v>6.8925232558139538</c:v>
                </c:pt>
                <c:pt idx="13">
                  <c:v>6.8010142857142855</c:v>
                </c:pt>
                <c:pt idx="14">
                  <c:v>6.8712428571428568</c:v>
                </c:pt>
                <c:pt idx="15">
                  <c:v>6.8708857142857145</c:v>
                </c:pt>
                <c:pt idx="16">
                  <c:v>7.0861142857142854</c:v>
                </c:pt>
                <c:pt idx="17">
                  <c:v>7.3503850130953534</c:v>
                </c:pt>
                <c:pt idx="18">
                  <c:v>7.8607287499999998</c:v>
                </c:pt>
                <c:pt idx="19">
                  <c:v>8.2888199999999994</c:v>
                </c:pt>
                <c:pt idx="20">
                  <c:v>8.4334571428571437</c:v>
                </c:pt>
                <c:pt idx="21">
                  <c:v>8.7411909865697641</c:v>
                </c:pt>
                <c:pt idx="22">
                  <c:v>8.9</c:v>
                </c:pt>
                <c:pt idx="23">
                  <c:v>9.0296000000000003</c:v>
                </c:pt>
                <c:pt idx="24">
                  <c:v>9.057884210526316</c:v>
                </c:pt>
                <c:pt idx="25">
                  <c:v>8.99939</c:v>
                </c:pt>
                <c:pt idx="26">
                  <c:v>9.6898681818181824</c:v>
                </c:pt>
                <c:pt idx="27">
                  <c:v>10.165071428571427</c:v>
                </c:pt>
                <c:pt idx="28">
                  <c:v>10.262547619047622</c:v>
                </c:pt>
                <c:pt idx="29">
                  <c:v>10.307509090909091</c:v>
                </c:pt>
                <c:pt idx="30">
                  <c:v>10.428950000000002</c:v>
                </c:pt>
                <c:pt idx="31">
                  <c:v>10.479456521739131</c:v>
                </c:pt>
                <c:pt idx="32">
                  <c:v>10.583795238095238</c:v>
                </c:pt>
                <c:pt idx="33">
                  <c:v>11.060600000000001</c:v>
                </c:pt>
                <c:pt idx="34">
                  <c:v>11.411</c:v>
                </c:pt>
                <c:pt idx="35">
                  <c:v>11.7258</c:v>
                </c:pt>
                <c:pt idx="36">
                  <c:v>11.622784999999997</c:v>
                </c:pt>
                <c:pt idx="37">
                  <c:v>11.471364999999997</c:v>
                </c:pt>
                <c:pt idx="38">
                  <c:v>11.59599090909091</c:v>
                </c:pt>
                <c:pt idx="39">
                  <c:v>11.638299999999999</c:v>
                </c:pt>
                <c:pt idx="40">
                  <c:v>11.352</c:v>
                </c:pt>
                <c:pt idx="41">
                  <c:v>11.119063636363636</c:v>
                </c:pt>
                <c:pt idx="42">
                  <c:v>11.074404999999997</c:v>
                </c:pt>
                <c:pt idx="43">
                  <c:v>10.690721739130435</c:v>
                </c:pt>
                <c:pt idx="44">
                  <c:v>10.312649999999998</c:v>
                </c:pt>
                <c:pt idx="45">
                  <c:v>10.444277272727273</c:v>
                </c:pt>
                <c:pt idx="46">
                  <c:v>10.406086363636364</c:v>
                </c:pt>
                <c:pt idx="47">
                  <c:v>10.537519047619048</c:v>
                </c:pt>
                <c:pt idx="48">
                  <c:v>10.598219047619049</c:v>
                </c:pt>
                <c:pt idx="49">
                  <c:v>10.203671428571429</c:v>
                </c:pt>
                <c:pt idx="50">
                  <c:v>9.6918150000000018</c:v>
                </c:pt>
                <c:pt idx="51">
                  <c:v>9.5597904761904751</c:v>
                </c:pt>
                <c:pt idx="52">
                  <c:v>9.4342949999999988</c:v>
                </c:pt>
                <c:pt idx="53">
                  <c:v>9.2490199999999998</c:v>
                </c:pt>
                <c:pt idx="54">
                  <c:v>9.0509590909090907</c:v>
                </c:pt>
                <c:pt idx="55">
                  <c:v>9.0829772727272715</c:v>
                </c:pt>
                <c:pt idx="56">
                  <c:v>9.1222571428571442</c:v>
                </c:pt>
                <c:pt idx="57">
                  <c:v>9.0515521739130413</c:v>
                </c:pt>
                <c:pt idx="58">
                  <c:v>9.0151857142857139</c:v>
                </c:pt>
                <c:pt idx="59">
                  <c:v>8.9560380952380942</c:v>
                </c:pt>
              </c:numCache>
            </c:numRef>
          </c:val>
          <c:smooth val="0"/>
          <c:extLst>
            <c:ext xmlns:c16="http://schemas.microsoft.com/office/drawing/2014/chart" uri="{C3380CC4-5D6E-409C-BE32-E72D297353CC}">
              <c16:uniqueId val="{00000003-C435-45C0-B573-2983121D24ED}"/>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Sheet1!$F$2:$F$85</c:f>
              <c:numCache>
                <c:formatCode>0.0</c:formatCode>
                <c:ptCount val="60"/>
                <c:pt idx="0">
                  <c:v>8.3613999999999997</c:v>
                </c:pt>
                <c:pt idx="1">
                  <c:v>8.0782000000000007</c:v>
                </c:pt>
                <c:pt idx="2">
                  <c:v>7.7184999999999997</c:v>
                </c:pt>
                <c:pt idx="3">
                  <c:v>8.2558000000000007</c:v>
                </c:pt>
                <c:pt idx="4">
                  <c:v>8.0143000000000004</c:v>
                </c:pt>
                <c:pt idx="5">
                  <c:v>7.7636000000000003</c:v>
                </c:pt>
                <c:pt idx="6">
                  <c:v>7.7877999999999998</c:v>
                </c:pt>
                <c:pt idx="7">
                  <c:v>7.7232000000000003</c:v>
                </c:pt>
                <c:pt idx="8">
                  <c:v>7.6761999999999997</c:v>
                </c:pt>
                <c:pt idx="9">
                  <c:v>8.1753</c:v>
                </c:pt>
                <c:pt idx="10">
                  <c:v>8.1991999999999994</c:v>
                </c:pt>
                <c:pt idx="11">
                  <c:v>8.8371999999999993</c:v>
                </c:pt>
                <c:pt idx="12">
                  <c:v>9.1305357142857151</c:v>
                </c:pt>
                <c:pt idx="13">
                  <c:v>8.7364000000000015</c:v>
                </c:pt>
                <c:pt idx="14">
                  <c:v>8.8150272727272725</c:v>
                </c:pt>
                <c:pt idx="15">
                  <c:v>8.9161227272727253</c:v>
                </c:pt>
                <c:pt idx="16">
                  <c:v>9.0098500000000001</c:v>
                </c:pt>
                <c:pt idx="17">
                  <c:v>9.0018772727272722</c:v>
                </c:pt>
                <c:pt idx="18">
                  <c:v>9.2964285714285708</c:v>
                </c:pt>
                <c:pt idx="19">
                  <c:v>9.612345454545455</c:v>
                </c:pt>
                <c:pt idx="20">
                  <c:v>10.014661904761903</c:v>
                </c:pt>
                <c:pt idx="21">
                  <c:v>10.005904761904763</c:v>
                </c:pt>
                <c:pt idx="22">
                  <c:v>10.029559090909091</c:v>
                </c:pt>
                <c:pt idx="23">
                  <c:v>10.023227272727274</c:v>
                </c:pt>
                <c:pt idx="24">
                  <c:v>10.097063157894738</c:v>
                </c:pt>
                <c:pt idx="25">
                  <c:v>10.036735000000002</c:v>
                </c:pt>
                <c:pt idx="26">
                  <c:v>10.728454545454547</c:v>
                </c:pt>
                <c:pt idx="27">
                  <c:v>11.249590476190477</c:v>
                </c:pt>
                <c:pt idx="28">
                  <c:v>11.120128571428571</c:v>
                </c:pt>
                <c:pt idx="29">
                  <c:v>11.198654545454545</c:v>
                </c:pt>
                <c:pt idx="30">
                  <c:v>11.361525</c:v>
                </c:pt>
                <c:pt idx="31">
                  <c:v>11.365604347826087</c:v>
                </c:pt>
                <c:pt idx="32">
                  <c:v>11.536523809523809</c:v>
                </c:pt>
                <c:pt idx="33">
                  <c:v>11.867000000000001</c:v>
                </c:pt>
                <c:pt idx="34">
                  <c:v>12.027100000000001</c:v>
                </c:pt>
                <c:pt idx="35">
                  <c:v>11.9946</c:v>
                </c:pt>
                <c:pt idx="36">
                  <c:v>11.776389999999999</c:v>
                </c:pt>
                <c:pt idx="37">
                  <c:v>11.618069999999999</c:v>
                </c:pt>
                <c:pt idx="38">
                  <c:v>11.707554545454544</c:v>
                </c:pt>
                <c:pt idx="39">
                  <c:v>11.611273684210525</c:v>
                </c:pt>
                <c:pt idx="40">
                  <c:v>11.313780952380954</c:v>
                </c:pt>
                <c:pt idx="41">
                  <c:v>10.890645454545453</c:v>
                </c:pt>
                <c:pt idx="42">
                  <c:v>10.690165</c:v>
                </c:pt>
                <c:pt idx="43">
                  <c:v>10.407113043478262</c:v>
                </c:pt>
                <c:pt idx="44">
                  <c:v>10.219114999999999</c:v>
                </c:pt>
                <c:pt idx="45">
                  <c:v>10.363563636363638</c:v>
                </c:pt>
                <c:pt idx="46">
                  <c:v>10.604459090909092</c:v>
                </c:pt>
                <c:pt idx="47">
                  <c:v>10.752557142857144</c:v>
                </c:pt>
                <c:pt idx="48">
                  <c:v>10.706314285714289</c:v>
                </c:pt>
                <c:pt idx="49">
                  <c:v>10.151619047619047</c:v>
                </c:pt>
                <c:pt idx="50">
                  <c:v>9.7728300000000008</c:v>
                </c:pt>
                <c:pt idx="51">
                  <c:v>9.6768571428571448</c:v>
                </c:pt>
                <c:pt idx="52">
                  <c:v>9.6871050000000007</c:v>
                </c:pt>
                <c:pt idx="53">
                  <c:v>9.6936650000000011</c:v>
                </c:pt>
                <c:pt idx="54">
                  <c:v>9.7028500000000015</c:v>
                </c:pt>
                <c:pt idx="55">
                  <c:v>9.7344181818181834</c:v>
                </c:pt>
                <c:pt idx="56">
                  <c:v>9.7281238095238081</c:v>
                </c:pt>
                <c:pt idx="57">
                  <c:v>9.8332913043478261</c:v>
                </c:pt>
                <c:pt idx="58">
                  <c:v>9.8554571428571442</c:v>
                </c:pt>
                <c:pt idx="59">
                  <c:v>9.8331666666666671</c:v>
                </c:pt>
              </c:numCache>
            </c:numRef>
          </c:val>
          <c:smooth val="0"/>
          <c:extLst>
            <c:ext xmlns:c16="http://schemas.microsoft.com/office/drawing/2014/chart" uri="{C3380CC4-5D6E-409C-BE32-E72D297353CC}">
              <c16:uniqueId val="{00000004-C435-45C0-B573-2983121D24ED}"/>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Sheet1!$G$2:$G$85</c:f>
              <c:numCache>
                <c:formatCode>0.0</c:formatCode>
                <c:ptCount val="60"/>
                <c:pt idx="0">
                  <c:v>11.546058726974197</c:v>
                </c:pt>
                <c:pt idx="1">
                  <c:v>11.923129058421264</c:v>
                </c:pt>
                <c:pt idx="2">
                  <c:v>12.086361052439955</c:v>
                </c:pt>
                <c:pt idx="3">
                  <c:v>11.48654832067378</c:v>
                </c:pt>
                <c:pt idx="4">
                  <c:v>11.693071478615122</c:v>
                </c:pt>
                <c:pt idx="5">
                  <c:v>11.840666400286993</c:v>
                </c:pt>
                <c:pt idx="6">
                  <c:v>11.594003016007466</c:v>
                </c:pt>
                <c:pt idx="7">
                  <c:v>11.390509460797004</c:v>
                </c:pt>
                <c:pt idx="8">
                  <c:v>11.739999180461965</c:v>
                </c:pt>
                <c:pt idx="9">
                  <c:v>11.478526971393057</c:v>
                </c:pt>
                <c:pt idx="10">
                  <c:v>11.190687271017511</c:v>
                </c:pt>
                <c:pt idx="11">
                  <c:v>11.46854913302637</c:v>
                </c:pt>
                <c:pt idx="12">
                  <c:v>11.549209942466879</c:v>
                </c:pt>
                <c:pt idx="13">
                  <c:v>12.265284498474417</c:v>
                </c:pt>
                <c:pt idx="14">
                  <c:v>11.961990666081375</c:v>
                </c:pt>
                <c:pt idx="15">
                  <c:v>11.697603968729714</c:v>
                </c:pt>
                <c:pt idx="16">
                  <c:v>11.46349671816964</c:v>
                </c:pt>
                <c:pt idx="17">
                  <c:v>10.411636000567436</c:v>
                </c:pt>
                <c:pt idx="18">
                  <c:v>11.825994181857787</c:v>
                </c:pt>
                <c:pt idx="19">
                  <c:v>11.937044148439007</c:v>
                </c:pt>
                <c:pt idx="20">
                  <c:v>12.208102534160609</c:v>
                </c:pt>
                <c:pt idx="21">
                  <c:v>11.779293223642544</c:v>
                </c:pt>
                <c:pt idx="22">
                  <c:v>11.765812609481552</c:v>
                </c:pt>
                <c:pt idx="23">
                  <c:v>12.277436640171302</c:v>
                </c:pt>
                <c:pt idx="24">
                  <c:v>12.136173486114288</c:v>
                </c:pt>
                <c:pt idx="25">
                  <c:v>12.219833307639213</c:v>
                </c:pt>
                <c:pt idx="26">
                  <c:v>12.491087907189435</c:v>
                </c:pt>
                <c:pt idx="27">
                  <c:v>11.489323502789608</c:v>
                </c:pt>
                <c:pt idx="28">
                  <c:v>11.536903872779591</c:v>
                </c:pt>
                <c:pt idx="29">
                  <c:v>11.274733470496635</c:v>
                </c:pt>
                <c:pt idx="30">
                  <c:v>11.699386745104745</c:v>
                </c:pt>
                <c:pt idx="31">
                  <c:v>11.535369601703893</c:v>
                </c:pt>
                <c:pt idx="32">
                  <c:v>11.773619839763745</c:v>
                </c:pt>
                <c:pt idx="33">
                  <c:v>11.725462493526342</c:v>
                </c:pt>
                <c:pt idx="34">
                  <c:v>11.090510930662978</c:v>
                </c:pt>
                <c:pt idx="35">
                  <c:v>12.026777148567596</c:v>
                </c:pt>
                <c:pt idx="36">
                  <c:v>11.758733642189338</c:v>
                </c:pt>
                <c:pt idx="37">
                  <c:v>11.81813621014304</c:v>
                </c:pt>
                <c:pt idx="38">
                  <c:v>12.280686192171711</c:v>
                </c:pt>
                <c:pt idx="39">
                  <c:v>13.128028635271743</c:v>
                </c:pt>
                <c:pt idx="40">
                  <c:v>12.600028383172315</c:v>
                </c:pt>
                <c:pt idx="41">
                  <c:v>12.139632381709292</c:v>
                </c:pt>
                <c:pt idx="42">
                  <c:v>12.29666154156954</c:v>
                </c:pt>
                <c:pt idx="43">
                  <c:v>12.328377353012261</c:v>
                </c:pt>
                <c:pt idx="44">
                  <c:v>12.732583194951411</c:v>
                </c:pt>
                <c:pt idx="45">
                  <c:v>12.336272171099267</c:v>
                </c:pt>
                <c:pt idx="46">
                  <c:v>12.701744746093986</c:v>
                </c:pt>
                <c:pt idx="47">
                  <c:v>12.501984365787607</c:v>
                </c:pt>
                <c:pt idx="48">
                  <c:v>12.7588268289648</c:v>
                </c:pt>
                <c:pt idx="49">
                  <c:v>13.165103884880343</c:v>
                </c:pt>
                <c:pt idx="50">
                  <c:v>12.283746075334658</c:v>
                </c:pt>
                <c:pt idx="51">
                  <c:v>12.500070931752306</c:v>
                </c:pt>
                <c:pt idx="52">
                  <c:v>12.859224711990501</c:v>
                </c:pt>
                <c:pt idx="53">
                  <c:v>12.921482369357351</c:v>
                </c:pt>
                <c:pt idx="54">
                  <c:v>13.798832553149152</c:v>
                </c:pt>
                <c:pt idx="55">
                  <c:v>13.365097498508602</c:v>
                </c:pt>
                <c:pt idx="56">
                  <c:v>13.681483408895364</c:v>
                </c:pt>
                <c:pt idx="57">
                  <c:v>13.751132907644719</c:v>
                </c:pt>
                <c:pt idx="58">
                  <c:v>13.408863578162219</c:v>
                </c:pt>
                <c:pt idx="59">
                  <c:v>13.169240186844304</c:v>
                </c:pt>
              </c:numCache>
            </c:numRef>
          </c:val>
          <c:smooth val="0"/>
          <c:extLst>
            <c:ext xmlns:c16="http://schemas.microsoft.com/office/drawing/2014/chart" uri="{C3380CC4-5D6E-409C-BE32-E72D297353CC}">
              <c16:uniqueId val="{00000005-C435-45C0-B573-2983121D24ED}"/>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Sheet1!$H$2:$H$85</c:f>
              <c:numCache>
                <c:formatCode>0.0</c:formatCode>
                <c:ptCount val="60"/>
                <c:pt idx="0">
                  <c:v>9.100093590291749</c:v>
                </c:pt>
                <c:pt idx="1">
                  <c:v>8.6483765376842303</c:v>
                </c:pt>
                <c:pt idx="2">
                  <c:v>7.2291523038045318</c:v>
                </c:pt>
                <c:pt idx="3">
                  <c:v>8.0751786691005769</c:v>
                </c:pt>
                <c:pt idx="4">
                  <c:v>8.3114329139332437</c:v>
                </c:pt>
                <c:pt idx="5">
                  <c:v>7.9211712515744601</c:v>
                </c:pt>
                <c:pt idx="6">
                  <c:v>8.1427574380816061</c:v>
                </c:pt>
                <c:pt idx="7">
                  <c:v>8.2210477870032328</c:v>
                </c:pt>
                <c:pt idx="8">
                  <c:v>8.4142766303570919</c:v>
                </c:pt>
                <c:pt idx="9">
                  <c:v>7.9414026073857746</c:v>
                </c:pt>
                <c:pt idx="10">
                  <c:v>8.0049673310543401</c:v>
                </c:pt>
                <c:pt idx="11">
                  <c:v>7.4048415965003471</c:v>
                </c:pt>
                <c:pt idx="12">
                  <c:v>8.3431898134069336</c:v>
                </c:pt>
                <c:pt idx="13">
                  <c:v>8.1845675016329267</c:v>
                </c:pt>
                <c:pt idx="14">
                  <c:v>7.7422870380906073</c:v>
                </c:pt>
                <c:pt idx="15">
                  <c:v>8.258143495890641</c:v>
                </c:pt>
                <c:pt idx="16">
                  <c:v>8.336376778540556</c:v>
                </c:pt>
                <c:pt idx="17">
                  <c:v>8.0158616246163845</c:v>
                </c:pt>
                <c:pt idx="18">
                  <c:v>8.3801246219086263</c:v>
                </c:pt>
                <c:pt idx="19">
                  <c:v>8.4231469612643615</c:v>
                </c:pt>
                <c:pt idx="20">
                  <c:v>8.2773469777009598</c:v>
                </c:pt>
                <c:pt idx="21">
                  <c:v>8.4296232065051928</c:v>
                </c:pt>
                <c:pt idx="22">
                  <c:v>8.2398175292211864</c:v>
                </c:pt>
                <c:pt idx="23">
                  <c:v>8.2678332122473623</c:v>
                </c:pt>
                <c:pt idx="24">
                  <c:v>8.3938267500377108</c:v>
                </c:pt>
                <c:pt idx="25">
                  <c:v>8.5417269393471607</c:v>
                </c:pt>
                <c:pt idx="26">
                  <c:v>9.2964040296125265</c:v>
                </c:pt>
                <c:pt idx="27">
                  <c:v>9.210710627688707</c:v>
                </c:pt>
                <c:pt idx="28">
                  <c:v>8.4604892202941926</c:v>
                </c:pt>
                <c:pt idx="29">
                  <c:v>8.1287571727719037</c:v>
                </c:pt>
                <c:pt idx="30">
                  <c:v>8.0137945266574295</c:v>
                </c:pt>
                <c:pt idx="31">
                  <c:v>8.1901082208958194</c:v>
                </c:pt>
                <c:pt idx="32">
                  <c:v>7.6374793222786144</c:v>
                </c:pt>
                <c:pt idx="33">
                  <c:v>8.342940111802875</c:v>
                </c:pt>
                <c:pt idx="34">
                  <c:v>8.5430354373300954</c:v>
                </c:pt>
                <c:pt idx="35">
                  <c:v>8.6201560403887179</c:v>
                </c:pt>
                <c:pt idx="36">
                  <c:v>8.4331002640766979</c:v>
                </c:pt>
                <c:pt idx="37">
                  <c:v>8.2394822623711086</c:v>
                </c:pt>
                <c:pt idx="38">
                  <c:v>8.1887607485517133</c:v>
                </c:pt>
                <c:pt idx="39">
                  <c:v>8.4900096103328373</c:v>
                </c:pt>
                <c:pt idx="40">
                  <c:v>8.2829882240962576</c:v>
                </c:pt>
                <c:pt idx="41">
                  <c:v>8.3546599768074685</c:v>
                </c:pt>
                <c:pt idx="42">
                  <c:v>8.2260766425836156</c:v>
                </c:pt>
                <c:pt idx="43">
                  <c:v>8.5697196129785382</c:v>
                </c:pt>
                <c:pt idx="44">
                  <c:v>8.6042796009191385</c:v>
                </c:pt>
                <c:pt idx="45">
                  <c:v>8.2324457486376996</c:v>
                </c:pt>
                <c:pt idx="46">
                  <c:v>8.5751148906728716</c:v>
                </c:pt>
                <c:pt idx="47">
                  <c:v>8.1553455505810319</c:v>
                </c:pt>
                <c:pt idx="48">
                  <c:v>8.0531299745367129</c:v>
                </c:pt>
                <c:pt idx="49">
                  <c:v>7.8427115715895388</c:v>
                </c:pt>
                <c:pt idx="50">
                  <c:v>8.034297791459613</c:v>
                </c:pt>
                <c:pt idx="51">
                  <c:v>8.433938952219318</c:v>
                </c:pt>
                <c:pt idx="52">
                  <c:v>8.430409859886856</c:v>
                </c:pt>
                <c:pt idx="53">
                  <c:v>8.2522694553656422</c:v>
                </c:pt>
                <c:pt idx="54">
                  <c:v>8.3313667312712294</c:v>
                </c:pt>
                <c:pt idx="55">
                  <c:v>8.1553933935451006</c:v>
                </c:pt>
                <c:pt idx="56">
                  <c:v>8.0044997993279665</c:v>
                </c:pt>
                <c:pt idx="57">
                  <c:v>8.0584137574234731</c:v>
                </c:pt>
                <c:pt idx="58">
                  <c:v>8.0223985298290277</c:v>
                </c:pt>
                <c:pt idx="59">
                  <c:v>8.160990693987765</c:v>
                </c:pt>
              </c:numCache>
            </c:numRef>
          </c:val>
          <c:smooth val="0"/>
          <c:extLst>
            <c:ext xmlns:c16="http://schemas.microsoft.com/office/drawing/2014/chart" uri="{C3380CC4-5D6E-409C-BE32-E72D297353CC}">
              <c16:uniqueId val="{00000006-C435-45C0-B573-2983121D24ED}"/>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-10.933296134402209</c:v>
                </c:pt>
                <c:pt idx="1">
                  <c:v>-10.842128104811581</c:v>
                </c:pt>
                <c:pt idx="2">
                  <c:v>-9.5613589731983932</c:v>
                </c:pt>
                <c:pt idx="3">
                  <c:v>-10.440327246884678</c:v>
                </c:pt>
                <c:pt idx="4">
                  <c:v>-8.9367577684343011</c:v>
                </c:pt>
              </c:numCache>
            </c:numRef>
          </c:val>
          <c:extLst>
            <c:ext xmlns:c16="http://schemas.microsoft.com/office/drawing/2014/chart" uri="{C3380CC4-5D6E-409C-BE32-E72D297353CC}">
              <c16:uniqueId val="{00000000-6185-4D15-B23C-B1620C4E2C80}"/>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0.98478281010604996</c:v>
                </c:pt>
                <c:pt idx="1">
                  <c:v>2.8065738815529611</c:v>
                </c:pt>
                <c:pt idx="2">
                  <c:v>8.8069432970231603</c:v>
                </c:pt>
                <c:pt idx="3">
                  <c:v>9.636031153569796</c:v>
                </c:pt>
                <c:pt idx="4">
                  <c:v>7.1191370073262537</c:v>
                </c:pt>
              </c:numCache>
            </c:numRef>
          </c:val>
          <c:extLst>
            <c:ext xmlns:c16="http://schemas.microsoft.com/office/drawing/2014/chart" uri="{C3380CC4-5D6E-409C-BE32-E72D297353CC}">
              <c16:uniqueId val="{00000001-6185-4D15-B23C-B1620C4E2C80}"/>
            </c:ext>
          </c:extLst>
        </c:ser>
        <c:ser>
          <c:idx val="3"/>
          <c:order val="3"/>
          <c:tx>
            <c:strRef>
              <c:f>Sheet1!$A$5</c:f>
              <c:strCache>
                <c:ptCount val="1"/>
                <c:pt idx="0">
                  <c:v>Սկզբնական եկամուտներ</c:v>
                </c:pt>
              </c:strCache>
            </c:strRef>
          </c:tx>
          <c:spPr>
            <a:solidFill>
              <a:srgbClr val="4F81BD"/>
            </a:solidFill>
            <a:ln w="25375">
              <a:noFill/>
            </a:ln>
          </c:spPr>
          <c:invertIfNegative val="0"/>
          <c:cat>
            <c:numRef>
              <c:f>Sheet1!$B$1:$F$1</c:f>
              <c:numCache>
                <c:formatCode>General</c:formatCode>
                <c:ptCount val="5"/>
                <c:pt idx="0">
                  <c:v>2020</c:v>
                </c:pt>
                <c:pt idx="1">
                  <c:v>2021</c:v>
                </c:pt>
                <c:pt idx="2">
                  <c:v>2022</c:v>
                </c:pt>
                <c:pt idx="3">
                  <c:v>2023</c:v>
                </c:pt>
                <c:pt idx="4">
                  <c:v>2024</c:v>
                </c:pt>
              </c:numCache>
            </c:numRef>
          </c:cat>
          <c:val>
            <c:numRef>
              <c:f>Sheet1!$B$5:$F$5</c:f>
              <c:numCache>
                <c:formatCode>0.0</c:formatCode>
                <c:ptCount val="5"/>
                <c:pt idx="0">
                  <c:v>-1.603344973486925</c:v>
                </c:pt>
                <c:pt idx="1">
                  <c:v>-2.8746707917414094</c:v>
                </c:pt>
                <c:pt idx="2">
                  <c:v>-2.6742232306626272</c:v>
                </c:pt>
                <c:pt idx="3">
                  <c:v>-2.705489587360995</c:v>
                </c:pt>
                <c:pt idx="4">
                  <c:v>-3.6416319225866944</c:v>
                </c:pt>
              </c:numCache>
            </c:numRef>
          </c:val>
          <c:extLst>
            <c:ext xmlns:c16="http://schemas.microsoft.com/office/drawing/2014/chart" uri="{C3380CC4-5D6E-409C-BE32-E72D297353CC}">
              <c16:uniqueId val="{00000002-6185-4D15-B23C-B1620C4E2C80}"/>
            </c:ext>
          </c:extLst>
        </c:ser>
        <c:ser>
          <c:idx val="4"/>
          <c:order val="4"/>
          <c:tx>
            <c:strRef>
              <c:f>Sheet1!$A$6</c:f>
              <c:strCache>
                <c:ptCount val="1"/>
                <c:pt idx="0">
                  <c:v>Երկրորդային եկամուտներ</c:v>
                </c:pt>
              </c:strCache>
            </c:strRef>
          </c:tx>
          <c:spPr>
            <a:solidFill>
              <a:srgbClr val="1F497D"/>
            </a:solidFill>
            <a:ln w="25375">
              <a:noFill/>
            </a:ln>
          </c:spPr>
          <c:invertIfNegative val="0"/>
          <c:cat>
            <c:numRef>
              <c:f>Sheet1!$B$1:$F$1</c:f>
              <c:numCache>
                <c:formatCode>General</c:formatCode>
                <c:ptCount val="5"/>
                <c:pt idx="0">
                  <c:v>2020</c:v>
                </c:pt>
                <c:pt idx="1">
                  <c:v>2021</c:v>
                </c:pt>
                <c:pt idx="2">
                  <c:v>2022</c:v>
                </c:pt>
                <c:pt idx="3">
                  <c:v>2023</c:v>
                </c:pt>
                <c:pt idx="4">
                  <c:v>2024</c:v>
                </c:pt>
              </c:numCache>
            </c:numRef>
          </c:cat>
          <c:val>
            <c:numRef>
              <c:f>Sheet1!$B$6:$F$6</c:f>
              <c:numCache>
                <c:formatCode>0.0</c:formatCode>
                <c:ptCount val="5"/>
                <c:pt idx="0">
                  <c:v>7.5540818758435808</c:v>
                </c:pt>
                <c:pt idx="1">
                  <c:v>7.4302510570388653</c:v>
                </c:pt>
                <c:pt idx="2">
                  <c:v>3.760332141977385</c:v>
                </c:pt>
                <c:pt idx="3">
                  <c:v>1.2000188568648982</c:v>
                </c:pt>
                <c:pt idx="4">
                  <c:v>1.5925697824250653</c:v>
                </c:pt>
              </c:numCache>
            </c:numRef>
          </c:val>
          <c:extLst>
            <c:ext xmlns:c16="http://schemas.microsoft.com/office/drawing/2014/chart" uri="{C3380CC4-5D6E-409C-BE32-E72D297353CC}">
              <c16:uniqueId val="{00000003-6185-4D15-B23C-B1620C4E2C80}"/>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-3.9977734586450908</c:v>
                </c:pt>
                <c:pt idx="1">
                  <c:v>-3.4799761215677063</c:v>
                </c:pt>
                <c:pt idx="2">
                  <c:v>0.33169334653047144</c:v>
                </c:pt>
                <c:pt idx="3">
                  <c:v>-2.3097911966700364</c:v>
                </c:pt>
                <c:pt idx="4">
                  <c:v>-3.8666807944270678</c:v>
                </c:pt>
              </c:numCache>
            </c:numRef>
          </c:val>
          <c:smooth val="0"/>
          <c:extLst>
            <c:ext xmlns:c16="http://schemas.microsoft.com/office/drawing/2014/chart" uri="{C3380CC4-5D6E-409C-BE32-E72D297353CC}">
              <c16:uniqueId val="{00000004-6185-4D15-B23C-B1620C4E2C80}"/>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1138.2605474840836</c:v>
                </c:pt>
                <c:pt idx="1">
                  <c:v>1763.2828382136308</c:v>
                </c:pt>
                <c:pt idx="2">
                  <c:v>4406.4799906627995</c:v>
                </c:pt>
                <c:pt idx="3">
                  <c:v>5690.4834598130883</c:v>
                </c:pt>
                <c:pt idx="4">
                  <c:v>5682.9358555252147</c:v>
                </c:pt>
              </c:numCache>
            </c:numRef>
          </c:val>
          <c:extLst>
            <c:ext xmlns:c16="http://schemas.microsoft.com/office/drawing/2014/chart" uri="{C3380CC4-5D6E-409C-BE32-E72D297353CC}">
              <c16:uniqueId val="{00000000-E703-4621-AAC4-CA7321921687}"/>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-1013.767351257771</c:v>
                </c:pt>
                <c:pt idx="1">
                  <c:v>-1373.7610135892621</c:v>
                </c:pt>
                <c:pt idx="2">
                  <c:v>-2687.9365332681759</c:v>
                </c:pt>
                <c:pt idx="3">
                  <c:v>-3369.5534138618086</c:v>
                </c:pt>
                <c:pt idx="4">
                  <c:v>-3847.1534722587853</c:v>
                </c:pt>
              </c:numCache>
            </c:numRef>
          </c:val>
          <c:extLst>
            <c:ext xmlns:c16="http://schemas.microsoft.com/office/drawing/2014/chart" uri="{C3380CC4-5D6E-409C-BE32-E72D297353CC}">
              <c16:uniqueId val="{00000001-E703-4621-AAC4-CA7321921687}"/>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124.49319622631265</c:v>
                </c:pt>
                <c:pt idx="1">
                  <c:v>389.52182462436872</c:v>
                </c:pt>
                <c:pt idx="2">
                  <c:v>1718.5434573946236</c:v>
                </c:pt>
                <c:pt idx="3">
                  <c:v>2320.9300459512797</c:v>
                </c:pt>
                <c:pt idx="4">
                  <c:v>1835.7823832664294</c:v>
                </c:pt>
              </c:numCache>
            </c:numRef>
          </c:val>
          <c:smooth val="0"/>
          <c:extLst>
            <c:ext xmlns:c16="http://schemas.microsoft.com/office/drawing/2014/chart" uri="{C3380CC4-5D6E-409C-BE32-E72D297353CC}">
              <c16:uniqueId val="{00000002-E703-4621-AAC4-CA7321921687}"/>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3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2718.8484999455832</c:v>
                </c:pt>
                <c:pt idx="1">
                  <c:v>3276.6246861539385</c:v>
                </c:pt>
                <c:pt idx="2">
                  <c:v>5711.3539106656481</c:v>
                </c:pt>
                <c:pt idx="3">
                  <c:v>8647.8554120987646</c:v>
                </c:pt>
                <c:pt idx="4">
                  <c:v>12935.242413778014</c:v>
                </c:pt>
              </c:numCache>
            </c:numRef>
          </c:val>
          <c:extLst>
            <c:ext xmlns:c16="http://schemas.microsoft.com/office/drawing/2014/chart" uri="{C3380CC4-5D6E-409C-BE32-E72D297353CC}">
              <c16:uniqueId val="{00000000-C8EE-4012-A3AC-5E4652705754}"/>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-4101.0019728661173</c:v>
                </c:pt>
                <c:pt idx="1">
                  <c:v>-4781.3937392531243</c:v>
                </c:pt>
                <c:pt idx="2">
                  <c:v>-7577.1103204685287</c:v>
                </c:pt>
                <c:pt idx="3">
                  <c:v>-11162.507846351393</c:v>
                </c:pt>
                <c:pt idx="4">
                  <c:v>-15239.727136845973</c:v>
                </c:pt>
              </c:numCache>
            </c:numRef>
          </c:val>
          <c:extLst>
            <c:ext xmlns:c16="http://schemas.microsoft.com/office/drawing/2014/chart" uri="{C3380CC4-5D6E-409C-BE32-E72D297353CC}">
              <c16:uniqueId val="{00000001-C8EE-4012-A3AC-5E465270575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-1382.1534729205341</c:v>
                </c:pt>
                <c:pt idx="1">
                  <c:v>-1504.7690530991858</c:v>
                </c:pt>
                <c:pt idx="2">
                  <c:v>-1865.7564098028806</c:v>
                </c:pt>
                <c:pt idx="3">
                  <c:v>-2514.6524342526282</c:v>
                </c:pt>
                <c:pt idx="4">
                  <c:v>-2304.4847230679588</c:v>
                </c:pt>
              </c:numCache>
            </c:numRef>
          </c:val>
          <c:smooth val="0"/>
          <c:extLst>
            <c:ext xmlns:c16="http://schemas.microsoft.com/office/drawing/2014/chart" uri="{C3380CC4-5D6E-409C-BE32-E72D297353CC}">
              <c16:uniqueId val="{00000002-C8EE-4012-A3AC-5E465270575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8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9.9861591375152187E-2"/>
          <c:w val="0.86605542312949757"/>
          <c:h val="0.5278118013026149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785.74527935314973</c:v>
                </c:pt>
                <c:pt idx="1">
                  <c:v>954.48578574101248</c:v>
                </c:pt>
                <c:pt idx="2">
                  <c:v>804.8193434808295</c:v>
                </c:pt>
                <c:pt idx="3">
                  <c:v>512.62328412682632</c:v>
                </c:pt>
                <c:pt idx="4">
                  <c:v>412.84291281690474</c:v>
                </c:pt>
              </c:numCache>
            </c:numRef>
          </c:val>
          <c:extLst>
            <c:ext xmlns:c16="http://schemas.microsoft.com/office/drawing/2014/chart" uri="{C3380CC4-5D6E-409C-BE32-E72D297353CC}">
              <c16:uniqueId val="{00000000-99F5-49F4-85E9-FFA7ABAC0F5C}"/>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286.39074659269698</c:v>
                </c:pt>
                <c:pt idx="1">
                  <c:v>319.53352658197639</c:v>
                </c:pt>
                <c:pt idx="2">
                  <c:v>644.35862514668361</c:v>
                </c:pt>
                <c:pt idx="3">
                  <c:v>466.37799334470776</c:v>
                </c:pt>
                <c:pt idx="4">
                  <c:v>352.78401867119072</c:v>
                </c:pt>
              </c:numCache>
            </c:numRef>
          </c:val>
          <c:extLst>
            <c:ext xmlns:c16="http://schemas.microsoft.com/office/drawing/2014/chart" uri="{C3380CC4-5D6E-409C-BE32-E72D297353CC}">
              <c16:uniqueId val="{00000001-99F5-49F4-85E9-FFA7ABAC0F5C}"/>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1072.1360259458468</c:v>
                </c:pt>
                <c:pt idx="1">
                  <c:v>1274.0193123229888</c:v>
                </c:pt>
                <c:pt idx="2">
                  <c:v>1449.1779686275131</c:v>
                </c:pt>
                <c:pt idx="3">
                  <c:v>979.00127747153408</c:v>
                </c:pt>
                <c:pt idx="4">
                  <c:v>765.62693148809547</c:v>
                </c:pt>
              </c:numCache>
            </c:numRef>
          </c:val>
          <c:smooth val="0"/>
          <c:extLst>
            <c:ext xmlns:c16="http://schemas.microsoft.com/office/drawing/2014/chart" uri="{C3380CC4-5D6E-409C-BE32-E72D297353CC}">
              <c16:uniqueId val="{00000002-99F5-49F4-85E9-FFA7ABAC0F5C}"/>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802719104556376"/>
          <c:w val="0.92742579004249859"/>
          <c:h val="0.20157434024450649"/>
        </c:manualLayout>
      </c:layout>
      <c:overlay val="0"/>
      <c:spPr>
        <a:noFill/>
        <a:ln w="25379">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106.12765544568146</c:v>
                </c:pt>
                <c:pt idx="1">
                  <c:v>189.72683292135463</c:v>
                </c:pt>
                <c:pt idx="2">
                  <c:v>182.11554099625181</c:v>
                </c:pt>
                <c:pt idx="3">
                  <c:v>201.33900594012431</c:v>
                </c:pt>
                <c:pt idx="4">
                  <c:v>58.294681588188155</c:v>
                </c:pt>
                <c:pt idx="5">
                  <c:v>61.327628802451869</c:v>
                </c:pt>
                <c:pt idx="6">
                  <c:v>45.228318633711922</c:v>
                </c:pt>
                <c:pt idx="7">
                  <c:v>65.481862436674703</c:v>
                </c:pt>
                <c:pt idx="8">
                  <c:v>40.65190847120536</c:v>
                </c:pt>
                <c:pt idx="9">
                  <c:v>25.021818275640811</c:v>
                </c:pt>
                <c:pt idx="10">
                  <c:v>-33.704043929691025</c:v>
                </c:pt>
                <c:pt idx="11">
                  <c:v>-48.589194873779952</c:v>
                </c:pt>
              </c:numCache>
            </c:numRef>
          </c:val>
          <c:smooth val="0"/>
          <c:extLst>
            <c:ext xmlns:c16="http://schemas.microsoft.com/office/drawing/2014/chart" uri="{C3380CC4-5D6E-409C-BE32-E72D297353CC}">
              <c16:uniqueId val="{00000000-60B6-4EEF-8F17-41D3C7F3C662}"/>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B6-4EEF-8F17-41D3C7F3C662}"/>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106.12765544568146</c:v>
                </c:pt>
                <c:pt idx="1">
                  <c:v>152.15821400016497</c:v>
                </c:pt>
                <c:pt idx="2">
                  <c:v>163.88946196114875</c:v>
                </c:pt>
                <c:pt idx="3">
                  <c:v>173.13327137882652</c:v>
                </c:pt>
                <c:pt idx="4">
                  <c:v>148.59049500982425</c:v>
                </c:pt>
                <c:pt idx="5">
                  <c:v>134.7685480371573</c:v>
                </c:pt>
                <c:pt idx="6">
                  <c:v>121.8876935196366</c:v>
                </c:pt>
                <c:pt idx="7">
                  <c:v>114.47148477560788</c:v>
                </c:pt>
                <c:pt idx="8">
                  <c:v>105.65016615600183</c:v>
                </c:pt>
                <c:pt idx="9">
                  <c:v>95.344761754985512</c:v>
                </c:pt>
                <c:pt idx="10">
                  <c:v>74.251744734427035</c:v>
                </c:pt>
                <c:pt idx="11">
                  <c:v>53.089205288314986</c:v>
                </c:pt>
              </c:numCache>
            </c:numRef>
          </c:val>
          <c:smooth val="0"/>
          <c:extLst>
            <c:ext xmlns:c16="http://schemas.microsoft.com/office/drawing/2014/chart" uri="{C3380CC4-5D6E-409C-BE32-E72D297353CC}">
              <c16:uniqueId val="{00000002-60B6-4EEF-8F17-41D3C7F3C662}"/>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4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8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556209735146743"/>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-4.1734761041994233</c:v>
                </c:pt>
                <c:pt idx="1">
                  <c:v>-5.8878145481948394</c:v>
                </c:pt>
                <c:pt idx="2">
                  <c:v>-3.9320377975543437</c:v>
                </c:pt>
                <c:pt idx="3">
                  <c:v>-2.8866080327740491</c:v>
                </c:pt>
                <c:pt idx="4">
                  <c:v>-3.0578022279955803</c:v>
                </c:pt>
                <c:pt idx="5">
                  <c:v>-1.384189475074777</c:v>
                </c:pt>
                <c:pt idx="6">
                  <c:v>-0.19711258080803873</c:v>
                </c:pt>
                <c:pt idx="7">
                  <c:v>1.7119936344504225</c:v>
                </c:pt>
                <c:pt idx="8">
                  <c:v>3.259144450525568</c:v>
                </c:pt>
                <c:pt idx="9">
                  <c:v>4.1131460246285059</c:v>
                </c:pt>
                <c:pt idx="10">
                  <c:v>4.5499054371798593</c:v>
                </c:pt>
                <c:pt idx="11">
                  <c:v>4.9119122584039303</c:v>
                </c:pt>
              </c:numCache>
            </c:numRef>
          </c:val>
          <c:smooth val="0"/>
          <c:extLst>
            <c:ext xmlns:c16="http://schemas.microsoft.com/office/drawing/2014/chart" uri="{C3380CC4-5D6E-409C-BE32-E72D297353CC}">
              <c16:uniqueId val="{00000000-05F2-47B4-BEBA-088D097AD3A5}"/>
            </c:ext>
          </c:extLst>
        </c:ser>
        <c:ser>
          <c:idx val="2"/>
          <c:order val="2"/>
          <c:tx>
            <c:strRef>
              <c:f>Sheet1!$A$4</c:f>
              <c:strCache>
                <c:ptCount val="1"/>
                <c:pt idx="0">
                  <c:v>Փոխարժեքի փոփոխություն (կուտակային)</c:v>
                </c:pt>
              </c:strCache>
            </c:strRef>
          </c:tx>
          <c:dLbls>
            <c:spPr>
              <a:noFill/>
              <a:ln w="25400">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pt idx="9">
                  <c:v>-0.62410242307574038</c:v>
                </c:pt>
                <c:pt idx="10">
                  <c:v>-0.25392647716398642</c:v>
                </c:pt>
                <c:pt idx="11">
                  <c:v>-6.4505724883076709E-2</c:v>
                </c:pt>
              </c:numCache>
            </c:numRef>
          </c:val>
          <c:smooth val="0"/>
          <c:extLst>
            <c:ext xmlns:c16="http://schemas.microsoft.com/office/drawing/2014/chart" uri="{C3380CC4-5D6E-409C-BE32-E72D297353CC}">
              <c16:uniqueId val="{00000001-05F2-47B4-BEBA-088D097AD3A5}"/>
            </c:ext>
          </c:extLst>
        </c:ser>
        <c:dLbls>
          <c:showLegendKey val="0"/>
          <c:showVal val="0"/>
          <c:showCatName val="0"/>
          <c:showSerName val="0"/>
          <c:showPercent val="0"/>
          <c:showBubbleSize val="0"/>
        </c:dLbls>
        <c:marker val="1"/>
        <c:smooth val="0"/>
        <c:axId val="612018368"/>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75" cap="rnd">
              <a:solidFill>
                <a:srgbClr val="4F81BD">
                  <a:lumMod val="75000"/>
                </a:srgbClr>
              </a:solidFill>
              <a:round/>
            </a:ln>
            <a:effectLst/>
          </c:spPr>
          <c:marker>
            <c:symbol val="circle"/>
            <c:size val="4"/>
            <c:spPr>
              <a:solidFill>
                <a:srgbClr val="4F81BD">
                  <a:lumMod val="75000"/>
                </a:srgbClr>
              </a:solidFill>
              <a:ln w="9525">
                <a:solidFill>
                  <a:srgbClr val="4F81BD">
                    <a:lumMod val="75000"/>
                  </a:srgbClr>
                </a:solidFill>
              </a:ln>
              <a:effectLst/>
            </c:spPr>
          </c:marker>
          <c:dLbls>
            <c:spPr>
              <a:noFill/>
              <a:ln w="25400">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120.0331545160964</c:v>
                </c:pt>
                <c:pt idx="1">
                  <c:v>174.68511408822718</c:v>
                </c:pt>
                <c:pt idx="2">
                  <c:v>182.12334449885071</c:v>
                </c:pt>
                <c:pt idx="3">
                  <c:v>187.56135971954802</c:v>
                </c:pt>
                <c:pt idx="4">
                  <c:v>161.2106650851324</c:v>
                </c:pt>
                <c:pt idx="5">
                  <c:v>141.90844982938677</c:v>
                </c:pt>
                <c:pt idx="6">
                  <c:v>125.53197327848957</c:v>
                </c:pt>
                <c:pt idx="7">
                  <c:v>113.65432243115163</c:v>
                </c:pt>
                <c:pt idx="8">
                  <c:v>101.52978765081079</c:v>
                </c:pt>
                <c:pt idx="9">
                  <c:v>88.805714926685852</c:v>
                </c:pt>
                <c:pt idx="10">
                  <c:v>67.092779025306356</c:v>
                </c:pt>
                <c:pt idx="11">
                  <c:v>46.015849900774867</c:v>
                </c:pt>
              </c:numCache>
            </c:numRef>
          </c:val>
          <c:smooth val="0"/>
          <c:extLst>
            <c:ext xmlns:c16="http://schemas.microsoft.com/office/drawing/2014/chart" uri="{C3380CC4-5D6E-409C-BE32-E72D297353CC}">
              <c16:uniqueId val="{00000002-05F2-47B4-BEBA-088D097AD3A5}"/>
            </c:ext>
          </c:extLst>
        </c:ser>
        <c:dLbls>
          <c:showLegendKey val="0"/>
          <c:showVal val="0"/>
          <c:showCatName val="0"/>
          <c:showSerName val="0"/>
          <c:showPercent val="0"/>
          <c:showBubbleSize val="0"/>
        </c:dLbls>
        <c:marker val="1"/>
        <c:smooth val="0"/>
        <c:axId val="434083056"/>
        <c:axId val="434071824"/>
      </c:lineChart>
      <c:catAx>
        <c:axId val="612018368"/>
        <c:scaling>
          <c:orientation val="minMax"/>
        </c:scaling>
        <c:delete val="0"/>
        <c:axPos val="t"/>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max"/>
        <c:auto val="1"/>
        <c:lblAlgn val="ctr"/>
        <c:lblOffset val="100"/>
        <c:noMultiLvlLbl val="0"/>
      </c:catAx>
      <c:valAx>
        <c:axId val="1"/>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valAx>
        <c:axId val="434071824"/>
        <c:scaling>
          <c:orientation val="minMax"/>
        </c:scaling>
        <c:delete val="0"/>
        <c:axPos val="r"/>
        <c:numFmt formatCode="0" sourceLinked="1"/>
        <c:majorTickMark val="out"/>
        <c:minorTickMark val="none"/>
        <c:tickLblPos val="nextTo"/>
        <c:crossAx val="434083056"/>
        <c:crosses val="max"/>
        <c:crossBetween val="between"/>
      </c:valAx>
      <c:catAx>
        <c:axId val="434083056"/>
        <c:scaling>
          <c:orientation val="minMax"/>
        </c:scaling>
        <c:delete val="1"/>
        <c:axPos val="b"/>
        <c:numFmt formatCode="General" sourceLinked="1"/>
        <c:majorTickMark val="out"/>
        <c:minorTickMark val="none"/>
        <c:tickLblPos val="nextTo"/>
        <c:crossAx val="43407182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0961274511409675"/>
          <c:w val="1"/>
          <c:h val="0.19038725488590313"/>
        </c:manualLayout>
      </c:layout>
      <c:overlay val="0"/>
      <c:spPr>
        <a:noFill/>
        <a:ln w="25400">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2225" cap="rnd">
              <a:solidFill>
                <a:srgbClr val="4F81BD"/>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Sheet1!$D$2:$D$85</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0.5</c:v>
                </c:pt>
                <c:pt idx="31">
                  <c:v>0.5</c:v>
                </c:pt>
                <c:pt idx="32" formatCode="0.0">
                  <c:v>1.3</c:v>
                </c:pt>
                <c:pt idx="33" formatCode="0.0">
                  <c:v>1.3</c:v>
                </c:pt>
                <c:pt idx="34">
                  <c:v>2</c:v>
                </c:pt>
                <c:pt idx="35">
                  <c:v>2.5</c:v>
                </c:pt>
                <c:pt idx="36" formatCode="0.00">
                  <c:v>2.5</c:v>
                </c:pt>
                <c:pt idx="37" formatCode="0.00">
                  <c:v>3</c:v>
                </c:pt>
                <c:pt idx="38" formatCode="0.00">
                  <c:v>3.5</c:v>
                </c:pt>
                <c:pt idx="39" formatCode="0.00">
                  <c:v>3.75</c:v>
                </c:pt>
                <c:pt idx="40" formatCode="0.00">
                  <c:v>3.75</c:v>
                </c:pt>
                <c:pt idx="41" formatCode="0.00">
                  <c:v>4</c:v>
                </c:pt>
                <c:pt idx="42">
                  <c:v>4.25</c:v>
                </c:pt>
                <c:pt idx="43">
                  <c:v>4.25</c:v>
                </c:pt>
                <c:pt idx="44">
                  <c:v>4.5</c:v>
                </c:pt>
                <c:pt idx="45" formatCode="0.0">
                  <c:v>4.5</c:v>
                </c:pt>
                <c:pt idx="46" formatCode="0.0">
                  <c:v>4.5</c:v>
                </c:pt>
                <c:pt idx="47" formatCode="0.0">
                  <c:v>4.5</c:v>
                </c:pt>
                <c:pt idx="48" formatCode="0.00">
                  <c:v>4.5</c:v>
                </c:pt>
                <c:pt idx="49" formatCode="0.00">
                  <c:v>4.5</c:v>
                </c:pt>
                <c:pt idx="50" formatCode="0.00">
                  <c:v>4.5</c:v>
                </c:pt>
                <c:pt idx="51" formatCode="0.00">
                  <c:v>4.5</c:v>
                </c:pt>
                <c:pt idx="52" formatCode="0.00">
                  <c:v>4.5</c:v>
                </c:pt>
                <c:pt idx="53" formatCode="0.00">
                  <c:v>4.25</c:v>
                </c:pt>
                <c:pt idx="54" formatCode="0.00">
                  <c:v>4.25</c:v>
                </c:pt>
                <c:pt idx="55" formatCode="0.00">
                  <c:v>4.25</c:v>
                </c:pt>
                <c:pt idx="56" formatCode="0.00">
                  <c:v>3.65</c:v>
                </c:pt>
                <c:pt idx="57" formatCode="0.00">
                  <c:v>3.4</c:v>
                </c:pt>
                <c:pt idx="58" formatCode="0.00">
                  <c:v>3.4</c:v>
                </c:pt>
                <c:pt idx="59" formatCode="0.00">
                  <c:v>3.15</c:v>
                </c:pt>
              </c:numCache>
            </c:numRef>
          </c:val>
          <c:smooth val="0"/>
          <c:extLst>
            <c:ext xmlns:c16="http://schemas.microsoft.com/office/drawing/2014/chart" uri="{C3380CC4-5D6E-409C-BE32-E72D297353CC}">
              <c16:uniqueId val="{00000000-3011-48F4-B2FA-E7E4577256CF}"/>
            </c:ext>
          </c:extLst>
        </c:ser>
        <c:ser>
          <c:idx val="1"/>
          <c:order val="1"/>
          <c:tx>
            <c:strRef>
              <c:f>Sheet1!$E$1</c:f>
              <c:strCache>
                <c:ptCount val="1"/>
                <c:pt idx="0">
                  <c:v>Չինաստան</c:v>
                </c:pt>
              </c:strCache>
            </c:strRef>
          </c:tx>
          <c:spPr>
            <a:ln w="22225" cap="rnd">
              <a:solidFill>
                <a:sysClr val="window" lastClr="FFFFFF">
                  <a:lumMod val="65000"/>
                </a:sys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Sheet1!$E$2:$E$85</c:f>
              <c:numCache>
                <c:formatCode>General</c:formatCode>
                <c:ptCount val="60"/>
                <c:pt idx="0">
                  <c:v>4.1500000000000004</c:v>
                </c:pt>
                <c:pt idx="1">
                  <c:v>4.05</c:v>
                </c:pt>
                <c:pt idx="2">
                  <c:v>4.05</c:v>
                </c:pt>
                <c:pt idx="3">
                  <c:v>3.85</c:v>
                </c:pt>
                <c:pt idx="4">
                  <c:v>3.85</c:v>
                </c:pt>
                <c:pt idx="5">
                  <c:v>3.85</c:v>
                </c:pt>
                <c:pt idx="6">
                  <c:v>3.85</c:v>
                </c:pt>
                <c:pt idx="7">
                  <c:v>3.85</c:v>
                </c:pt>
                <c:pt idx="8">
                  <c:v>3.85</c:v>
                </c:pt>
                <c:pt idx="9">
                  <c:v>3.85</c:v>
                </c:pt>
                <c:pt idx="10">
                  <c:v>3.85</c:v>
                </c:pt>
                <c:pt idx="11">
                  <c:v>3.85</c:v>
                </c:pt>
                <c:pt idx="12">
                  <c:v>3.85</c:v>
                </c:pt>
                <c:pt idx="13">
                  <c:v>3.85</c:v>
                </c:pt>
                <c:pt idx="14">
                  <c:v>3.85</c:v>
                </c:pt>
                <c:pt idx="15">
                  <c:v>3.85</c:v>
                </c:pt>
                <c:pt idx="16">
                  <c:v>3.85</c:v>
                </c:pt>
                <c:pt idx="17">
                  <c:v>3.85</c:v>
                </c:pt>
                <c:pt idx="18">
                  <c:v>3.85</c:v>
                </c:pt>
                <c:pt idx="19">
                  <c:v>3.85</c:v>
                </c:pt>
                <c:pt idx="20">
                  <c:v>3.85</c:v>
                </c:pt>
                <c:pt idx="21">
                  <c:v>3.85</c:v>
                </c:pt>
                <c:pt idx="22">
                  <c:v>3.85</c:v>
                </c:pt>
                <c:pt idx="23">
                  <c:v>3.8</c:v>
                </c:pt>
                <c:pt idx="24">
                  <c:v>3.8</c:v>
                </c:pt>
                <c:pt idx="25">
                  <c:v>3.7</c:v>
                </c:pt>
                <c:pt idx="26">
                  <c:v>3.7</c:v>
                </c:pt>
                <c:pt idx="27">
                  <c:v>3.7</c:v>
                </c:pt>
                <c:pt idx="28">
                  <c:v>3.7</c:v>
                </c:pt>
                <c:pt idx="29">
                  <c:v>3.7</c:v>
                </c:pt>
                <c:pt idx="30">
                  <c:v>3.7</c:v>
                </c:pt>
                <c:pt idx="31">
                  <c:v>3.7</c:v>
                </c:pt>
                <c:pt idx="32" formatCode="0.00">
                  <c:v>3.65</c:v>
                </c:pt>
                <c:pt idx="33" formatCode="0.00">
                  <c:v>3.65</c:v>
                </c:pt>
                <c:pt idx="34" formatCode="0.00">
                  <c:v>3.65</c:v>
                </c:pt>
                <c:pt idx="35" formatCode="0.00">
                  <c:v>3.65</c:v>
                </c:pt>
                <c:pt idx="36" formatCode="0.00">
                  <c:v>3.65</c:v>
                </c:pt>
                <c:pt idx="37" formatCode="0.00">
                  <c:v>3.65</c:v>
                </c:pt>
                <c:pt idx="38" formatCode="0.00">
                  <c:v>3.65</c:v>
                </c:pt>
                <c:pt idx="39" formatCode="0.00">
                  <c:v>3.65</c:v>
                </c:pt>
                <c:pt idx="40" formatCode="0.00">
                  <c:v>3.65</c:v>
                </c:pt>
                <c:pt idx="41" formatCode="0.00">
                  <c:v>3.55</c:v>
                </c:pt>
                <c:pt idx="42">
                  <c:v>3.55</c:v>
                </c:pt>
                <c:pt idx="43">
                  <c:v>3.45</c:v>
                </c:pt>
                <c:pt idx="44">
                  <c:v>3.45</c:v>
                </c:pt>
                <c:pt idx="45" formatCode="0.0">
                  <c:v>3.45</c:v>
                </c:pt>
                <c:pt idx="46" formatCode="0.0">
                  <c:v>3.45</c:v>
                </c:pt>
                <c:pt idx="47" formatCode="0.0">
                  <c:v>3.45</c:v>
                </c:pt>
                <c:pt idx="48" formatCode="0.00">
                  <c:v>3.45</c:v>
                </c:pt>
                <c:pt idx="49" formatCode="0.00">
                  <c:v>3.45</c:v>
                </c:pt>
                <c:pt idx="50" formatCode="0.00">
                  <c:v>3.45</c:v>
                </c:pt>
                <c:pt idx="51" formatCode="0.00">
                  <c:v>3.45</c:v>
                </c:pt>
                <c:pt idx="52" formatCode="0.00">
                  <c:v>3.45</c:v>
                </c:pt>
                <c:pt idx="53" formatCode="0.00">
                  <c:v>3.45</c:v>
                </c:pt>
                <c:pt idx="54" formatCode="0.00">
                  <c:v>3.35</c:v>
                </c:pt>
                <c:pt idx="55" formatCode="0.00">
                  <c:v>3.35</c:v>
                </c:pt>
                <c:pt idx="56" formatCode="0.00">
                  <c:v>3.35</c:v>
                </c:pt>
                <c:pt idx="57" formatCode="0.00">
                  <c:v>3.1</c:v>
                </c:pt>
                <c:pt idx="58" formatCode="0.00">
                  <c:v>3.1</c:v>
                </c:pt>
                <c:pt idx="59" formatCode="0.00">
                  <c:v>3.1</c:v>
                </c:pt>
              </c:numCache>
            </c:numRef>
          </c:val>
          <c:smooth val="0"/>
          <c:extLst>
            <c:ext xmlns:c16="http://schemas.microsoft.com/office/drawing/2014/chart" uri="{C3380CC4-5D6E-409C-BE32-E72D297353CC}">
              <c16:uniqueId val="{00000001-3011-48F4-B2FA-E7E4577256CF}"/>
            </c:ext>
          </c:extLst>
        </c:ser>
        <c:ser>
          <c:idx val="2"/>
          <c:order val="2"/>
          <c:tx>
            <c:strRef>
              <c:f>Sheet1!$F$1</c:f>
              <c:strCache>
                <c:ptCount val="1"/>
                <c:pt idx="0">
                  <c:v>ՌԴ</c:v>
                </c:pt>
              </c:strCache>
            </c:strRef>
          </c:tx>
          <c:spPr>
            <a:ln w="22225" cap="rnd">
              <a:solidFill>
                <a:srgbClr val="F79646">
                  <a:lumMod val="60000"/>
                  <a:lumOff val="40000"/>
                </a:srgb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Sheet1!$F$2:$F$85</c:f>
              <c:numCache>
                <c:formatCode>General</c:formatCode>
                <c:ptCount val="60"/>
                <c:pt idx="0">
                  <c:v>6.25</c:v>
                </c:pt>
                <c:pt idx="1">
                  <c:v>6</c:v>
                </c:pt>
                <c:pt idx="2">
                  <c:v>6</c:v>
                </c:pt>
                <c:pt idx="3">
                  <c:v>6</c:v>
                </c:pt>
                <c:pt idx="4">
                  <c:v>5.5</c:v>
                </c:pt>
                <c:pt idx="5">
                  <c:v>5.5</c:v>
                </c:pt>
                <c:pt idx="6">
                  <c:v>4.5</c:v>
                </c:pt>
                <c:pt idx="7">
                  <c:v>4.25</c:v>
                </c:pt>
                <c:pt idx="8">
                  <c:v>4.25</c:v>
                </c:pt>
                <c:pt idx="9">
                  <c:v>4.25</c:v>
                </c:pt>
                <c:pt idx="10">
                  <c:v>4.25</c:v>
                </c:pt>
                <c:pt idx="11">
                  <c:v>4.25</c:v>
                </c:pt>
                <c:pt idx="12">
                  <c:v>4.25</c:v>
                </c:pt>
                <c:pt idx="13">
                  <c:v>4.25</c:v>
                </c:pt>
                <c:pt idx="14">
                  <c:v>4.25</c:v>
                </c:pt>
                <c:pt idx="15">
                  <c:v>4.5</c:v>
                </c:pt>
                <c:pt idx="16">
                  <c:v>5</c:v>
                </c:pt>
                <c:pt idx="17">
                  <c:v>5.5</c:v>
                </c:pt>
                <c:pt idx="18">
                  <c:v>5.5</c:v>
                </c:pt>
                <c:pt idx="19">
                  <c:v>6.5</c:v>
                </c:pt>
                <c:pt idx="20">
                  <c:v>6.75</c:v>
                </c:pt>
                <c:pt idx="21">
                  <c:v>6.75</c:v>
                </c:pt>
                <c:pt idx="22">
                  <c:v>7.5</c:v>
                </c:pt>
                <c:pt idx="23">
                  <c:v>8.5</c:v>
                </c:pt>
                <c:pt idx="24" formatCode="0.0">
                  <c:v>8.5</c:v>
                </c:pt>
                <c:pt idx="25" formatCode="0.0">
                  <c:v>9.5</c:v>
                </c:pt>
                <c:pt idx="26" formatCode="0.0">
                  <c:v>20</c:v>
                </c:pt>
                <c:pt idx="27" formatCode="0.0">
                  <c:v>17</c:v>
                </c:pt>
                <c:pt idx="28" formatCode="0.0">
                  <c:v>14</c:v>
                </c:pt>
                <c:pt idx="29" formatCode="0.0">
                  <c:v>11</c:v>
                </c:pt>
                <c:pt idx="30" formatCode="0.0">
                  <c:v>9.5</c:v>
                </c:pt>
                <c:pt idx="31" formatCode="0.0">
                  <c:v>8</c:v>
                </c:pt>
                <c:pt idx="32" formatCode="0.0">
                  <c:v>7.5</c:v>
                </c:pt>
                <c:pt idx="33" formatCode="0.0">
                  <c:v>7.5</c:v>
                </c:pt>
                <c:pt idx="34" formatCode="0.0">
                  <c:v>7.5</c:v>
                </c:pt>
                <c:pt idx="35" formatCode="0.0">
                  <c:v>7.5</c:v>
                </c:pt>
                <c:pt idx="36" formatCode="0.00">
                  <c:v>7.5</c:v>
                </c:pt>
                <c:pt idx="37" formatCode="0.00">
                  <c:v>7.5</c:v>
                </c:pt>
                <c:pt idx="38" formatCode="0.00">
                  <c:v>7.5</c:v>
                </c:pt>
                <c:pt idx="39" formatCode="0.00">
                  <c:v>7.5</c:v>
                </c:pt>
                <c:pt idx="40" formatCode="0.00">
                  <c:v>7.5</c:v>
                </c:pt>
                <c:pt idx="41" formatCode="0.00">
                  <c:v>7.5</c:v>
                </c:pt>
                <c:pt idx="42">
                  <c:v>8.5</c:v>
                </c:pt>
                <c:pt idx="43">
                  <c:v>12</c:v>
                </c:pt>
                <c:pt idx="44">
                  <c:v>13</c:v>
                </c:pt>
                <c:pt idx="45" formatCode="0.0">
                  <c:v>15</c:v>
                </c:pt>
                <c:pt idx="46" formatCode="0.0">
                  <c:v>15</c:v>
                </c:pt>
                <c:pt idx="47" formatCode="0.0">
                  <c:v>16</c:v>
                </c:pt>
                <c:pt idx="48" formatCode="0.0">
                  <c:v>16</c:v>
                </c:pt>
                <c:pt idx="49" formatCode="0.0">
                  <c:v>16</c:v>
                </c:pt>
                <c:pt idx="50" formatCode="0.0">
                  <c:v>16</c:v>
                </c:pt>
                <c:pt idx="51" formatCode="0.0">
                  <c:v>16</c:v>
                </c:pt>
                <c:pt idx="52" formatCode="0.0">
                  <c:v>16</c:v>
                </c:pt>
                <c:pt idx="53" formatCode="0.0">
                  <c:v>16</c:v>
                </c:pt>
                <c:pt idx="54" formatCode="0.00">
                  <c:v>18</c:v>
                </c:pt>
                <c:pt idx="55" formatCode="0.00">
                  <c:v>18</c:v>
                </c:pt>
                <c:pt idx="56" formatCode="0.00">
                  <c:v>19</c:v>
                </c:pt>
                <c:pt idx="57" formatCode="0.00">
                  <c:v>21</c:v>
                </c:pt>
                <c:pt idx="58" formatCode="0.00">
                  <c:v>21</c:v>
                </c:pt>
                <c:pt idx="59" formatCode="0.00">
                  <c:v>21</c:v>
                </c:pt>
              </c:numCache>
            </c:numRef>
          </c:val>
          <c:smooth val="0"/>
          <c:extLst>
            <c:ext xmlns:c16="http://schemas.microsoft.com/office/drawing/2014/chart" uri="{C3380CC4-5D6E-409C-BE32-E72D297353CC}">
              <c16:uniqueId val="{00000002-3011-48F4-B2FA-E7E4577256CF}"/>
            </c:ext>
          </c:extLst>
        </c:ser>
        <c:ser>
          <c:idx val="3"/>
          <c:order val="3"/>
          <c:tx>
            <c:strRef>
              <c:f>Sheet1!$C$1</c:f>
              <c:strCache>
                <c:ptCount val="1"/>
                <c:pt idx="0">
                  <c:v>ԱՄՆ</c:v>
                </c:pt>
              </c:strCache>
            </c:strRef>
          </c:tx>
          <c:spPr>
            <a:ln w="22225">
              <a:solidFill>
                <a:srgbClr val="1F497D"/>
              </a:solidFill>
            </a:ln>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Sheet1!$C$14:$C$85</c:f>
              <c:numCache>
                <c:formatCode>General</c:formatCode>
                <c:ptCount val="60"/>
                <c:pt idx="0">
                  <c:v>1.6</c:v>
                </c:pt>
                <c:pt idx="1">
                  <c:v>1.6</c:v>
                </c:pt>
                <c:pt idx="2">
                  <c:v>1.1000000000000001</c:v>
                </c:pt>
                <c:pt idx="3">
                  <c:v>0.1</c:v>
                </c:pt>
                <c:pt idx="4">
                  <c:v>0.1</c:v>
                </c:pt>
                <c:pt idx="5">
                  <c:v>0.1</c:v>
                </c:pt>
                <c:pt idx="6">
                  <c:v>0.1</c:v>
                </c:pt>
                <c:pt idx="7">
                  <c:v>0.1</c:v>
                </c:pt>
                <c:pt idx="8">
                  <c:v>0.09</c:v>
                </c:pt>
                <c:pt idx="9">
                  <c:v>0.09</c:v>
                </c:pt>
                <c:pt idx="10">
                  <c:v>0.09</c:v>
                </c:pt>
                <c:pt idx="11">
                  <c:v>0.09</c:v>
                </c:pt>
                <c:pt idx="12">
                  <c:v>0.09</c:v>
                </c:pt>
                <c:pt idx="13">
                  <c:v>0.08</c:v>
                </c:pt>
                <c:pt idx="14">
                  <c:v>7.0000000000000007E-2</c:v>
                </c:pt>
                <c:pt idx="15">
                  <c:v>7.0000000000000007E-2</c:v>
                </c:pt>
                <c:pt idx="16">
                  <c:v>0.06</c:v>
                </c:pt>
                <c:pt idx="17">
                  <c:v>0.06</c:v>
                </c:pt>
                <c:pt idx="18">
                  <c:v>0.1</c:v>
                </c:pt>
                <c:pt idx="19">
                  <c:v>0.09</c:v>
                </c:pt>
                <c:pt idx="20">
                  <c:v>0.08</c:v>
                </c:pt>
                <c:pt idx="21">
                  <c:v>0.08</c:v>
                </c:pt>
                <c:pt idx="22">
                  <c:v>0.08</c:v>
                </c:pt>
                <c:pt idx="23">
                  <c:v>0.08</c:v>
                </c:pt>
                <c:pt idx="24">
                  <c:v>0.1</c:v>
                </c:pt>
                <c:pt idx="25">
                  <c:v>0.1</c:v>
                </c:pt>
                <c:pt idx="26">
                  <c:v>0.2</c:v>
                </c:pt>
                <c:pt idx="27">
                  <c:v>0.3</c:v>
                </c:pt>
                <c:pt idx="28">
                  <c:v>0.8</c:v>
                </c:pt>
                <c:pt idx="29">
                  <c:v>1.2</c:v>
                </c:pt>
                <c:pt idx="30">
                  <c:v>1.7</c:v>
                </c:pt>
                <c:pt idx="31">
                  <c:v>2.2999999999999998</c:v>
                </c:pt>
                <c:pt idx="32">
                  <c:v>2.6</c:v>
                </c:pt>
                <c:pt idx="33">
                  <c:v>3.1</c:v>
                </c:pt>
                <c:pt idx="34">
                  <c:v>3.8</c:v>
                </c:pt>
                <c:pt idx="35">
                  <c:v>4.0999999999999996</c:v>
                </c:pt>
                <c:pt idx="36" formatCode="0.00">
                  <c:v>4.3</c:v>
                </c:pt>
                <c:pt idx="37" formatCode="0.00">
                  <c:v>4.5999999999999996</c:v>
                </c:pt>
                <c:pt idx="38" formatCode="0.00">
                  <c:v>5</c:v>
                </c:pt>
                <c:pt idx="39" formatCode="0.00">
                  <c:v>5.25</c:v>
                </c:pt>
                <c:pt idx="40" formatCode="0.00">
                  <c:v>5.25</c:v>
                </c:pt>
                <c:pt idx="41" formatCode="0.00">
                  <c:v>5.25</c:v>
                </c:pt>
                <c:pt idx="42">
                  <c:v>5.5</c:v>
                </c:pt>
                <c:pt idx="43">
                  <c:v>5.5</c:v>
                </c:pt>
                <c:pt idx="44">
                  <c:v>5.5</c:v>
                </c:pt>
                <c:pt idx="45" formatCode="0.0">
                  <c:v>5.5</c:v>
                </c:pt>
                <c:pt idx="46" formatCode="0.0">
                  <c:v>5.5</c:v>
                </c:pt>
                <c:pt idx="47" formatCode="0.0">
                  <c:v>5.5</c:v>
                </c:pt>
                <c:pt idx="48" formatCode="0.00">
                  <c:v>5.5</c:v>
                </c:pt>
                <c:pt idx="49" formatCode="0.00">
                  <c:v>5.5</c:v>
                </c:pt>
                <c:pt idx="50" formatCode="0.00">
                  <c:v>5.5</c:v>
                </c:pt>
                <c:pt idx="51" formatCode="0.00">
                  <c:v>5.5</c:v>
                </c:pt>
                <c:pt idx="52" formatCode="0.00">
                  <c:v>5.5</c:v>
                </c:pt>
                <c:pt idx="53" formatCode="0.00">
                  <c:v>5.5</c:v>
                </c:pt>
                <c:pt idx="54" formatCode="0.00">
                  <c:v>5.5</c:v>
                </c:pt>
                <c:pt idx="55" formatCode="0.00">
                  <c:v>5.5</c:v>
                </c:pt>
                <c:pt idx="56" formatCode="0.00">
                  <c:v>5</c:v>
                </c:pt>
                <c:pt idx="57" formatCode="0.00">
                  <c:v>4.75</c:v>
                </c:pt>
                <c:pt idx="58" formatCode="0.00">
                  <c:v>4.75</c:v>
                </c:pt>
                <c:pt idx="59" formatCode="0.00">
                  <c:v>4.5</c:v>
                </c:pt>
              </c:numCache>
            </c:numRef>
          </c:val>
          <c:smooth val="0"/>
          <c:extLst>
            <c:ext xmlns:c16="http://schemas.microsoft.com/office/drawing/2014/chart" uri="{C3380CC4-5D6E-409C-BE32-E72D297353CC}">
              <c16:uniqueId val="{00000003-3011-48F4-B2FA-E7E4577256CF}"/>
            </c:ext>
          </c:extLst>
        </c:ser>
        <c:dLbls>
          <c:showLegendKey val="0"/>
          <c:showVal val="0"/>
          <c:showCatName val="0"/>
          <c:showSerName val="0"/>
          <c:showPercent val="0"/>
          <c:showBubbleSize val="0"/>
        </c:dLbls>
        <c:smooth val="0"/>
        <c:axId val="1913058256"/>
        <c:axId val="1913056080"/>
      </c:lineChart>
      <c:catAx>
        <c:axId val="1913058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6080"/>
        <c:crosses val="autoZero"/>
        <c:auto val="1"/>
        <c:lblAlgn val="ctr"/>
        <c:lblOffset val="100"/>
        <c:noMultiLvlLbl val="0"/>
      </c:catAx>
      <c:valAx>
        <c:axId val="1913056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25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78.504378498073208</c:v>
                </c:pt>
                <c:pt idx="1">
                  <c:v>120.93938986953478</c:v>
                </c:pt>
                <c:pt idx="2">
                  <c:v>90.527978820132205</c:v>
                </c:pt>
                <c:pt idx="3">
                  <c:v>105.86770528094047</c:v>
                </c:pt>
                <c:pt idx="4">
                  <c:v>19.442818133614665</c:v>
                </c:pt>
                <c:pt idx="5">
                  <c:v>24.443399245499123</c:v>
                </c:pt>
                <c:pt idx="6">
                  <c:v>38.401675749818793</c:v>
                </c:pt>
                <c:pt idx="7">
                  <c:v>28.126660761063448</c:v>
                </c:pt>
                <c:pt idx="8">
                  <c:v>21.303925644003712</c:v>
                </c:pt>
                <c:pt idx="9">
                  <c:v>10.604268746533336</c:v>
                </c:pt>
                <c:pt idx="10">
                  <c:v>-18.506362120006813</c:v>
                </c:pt>
                <c:pt idx="11">
                  <c:v>-26.527062104032652</c:v>
                </c:pt>
              </c:numCache>
            </c:numRef>
          </c:val>
          <c:smooth val="0"/>
          <c:extLst>
            <c:ext xmlns:c16="http://schemas.microsoft.com/office/drawing/2014/chart" uri="{C3380CC4-5D6E-409C-BE32-E72D297353CC}">
              <c16:uniqueId val="{00000000-5918-4831-A447-E2DD28949EE8}"/>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78.504378498073208</c:v>
                </c:pt>
                <c:pt idx="1">
                  <c:v>100.981436323015</c:v>
                </c:pt>
                <c:pt idx="2">
                  <c:v>96.70724731053005</c:v>
                </c:pt>
                <c:pt idx="3">
                  <c:v>99.011502735058144</c:v>
                </c:pt>
                <c:pt idx="4">
                  <c:v>81.474788554389221</c:v>
                </c:pt>
                <c:pt idx="5">
                  <c:v>71.612144902216187</c:v>
                </c:pt>
                <c:pt idx="6">
                  <c:v>66.998936608881678</c:v>
                </c:pt>
                <c:pt idx="7">
                  <c:v>61.751347172691368</c:v>
                </c:pt>
                <c:pt idx="8">
                  <c:v>57.157901948338662</c:v>
                </c:pt>
                <c:pt idx="9">
                  <c:v>51.298629309578445</c:v>
                </c:pt>
                <c:pt idx="10">
                  <c:v>42.060882952561286</c:v>
                </c:pt>
                <c:pt idx="11">
                  <c:v>33.781454506717125</c:v>
                </c:pt>
              </c:numCache>
            </c:numRef>
          </c:val>
          <c:smooth val="0"/>
          <c:extLst>
            <c:ext xmlns:c16="http://schemas.microsoft.com/office/drawing/2014/chart" uri="{C3380CC4-5D6E-409C-BE32-E72D297353CC}">
              <c16:uniqueId val="{00000001-5918-4831-A447-E2DD28949EE8}"/>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-0.48454431304054424</c:v>
                </c:pt>
                <c:pt idx="1">
                  <c:v>-1.1932189214896454</c:v>
                </c:pt>
                <c:pt idx="2">
                  <c:v>0.82620415747757647</c:v>
                </c:pt>
                <c:pt idx="3">
                  <c:v>3.9549157053500039E-2</c:v>
                </c:pt>
                <c:pt idx="4">
                  <c:v>0.93287264349496013</c:v>
                </c:pt>
                <c:pt idx="5">
                  <c:v>1.6803337008663135</c:v>
                </c:pt>
                <c:pt idx="6">
                  <c:v>3.0564208002546991</c:v>
                </c:pt>
                <c:pt idx="7">
                  <c:v>3.7825526815799293</c:v>
                </c:pt>
                <c:pt idx="8">
                  <c:v>4.5912203823397277</c:v>
                </c:pt>
                <c:pt idx="9">
                  <c:v>4.0297529223056472</c:v>
                </c:pt>
                <c:pt idx="10">
                  <c:v>3.2488200533292257</c:v>
                </c:pt>
                <c:pt idx="11">
                  <c:v>1.9889658815952913</c:v>
                </c:pt>
              </c:numCache>
            </c:numRef>
          </c:val>
          <c:smooth val="0"/>
          <c:extLst>
            <c:ext xmlns:c16="http://schemas.microsoft.com/office/drawing/2014/chart" uri="{C3380CC4-5D6E-409C-BE32-E72D297353CC}">
              <c16:uniqueId val="{00000000-334E-4CB7-90E1-B2066296D0E3}"/>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pt idx="9">
                  <c:v>-0.62410242307574038</c:v>
                </c:pt>
                <c:pt idx="10">
                  <c:v>-0.25392647716398642</c:v>
                </c:pt>
                <c:pt idx="11">
                  <c:v>-6.4505724883076709E-2</c:v>
                </c:pt>
              </c:numCache>
            </c:numRef>
          </c:val>
          <c:smooth val="0"/>
          <c:extLst>
            <c:ext xmlns:c16="http://schemas.microsoft.com/office/drawing/2014/chart" uri="{C3380CC4-5D6E-409C-BE32-E72D297353CC}">
              <c16:uniqueId val="{00000001-334E-4CB7-90E1-B2066296D0E3}"/>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83.483042646109851</c:v>
                </c:pt>
                <c:pt idx="1">
                  <c:v>108.53408839927613</c:v>
                </c:pt>
                <c:pt idx="2">
                  <c:v>100.37452140964092</c:v>
                </c:pt>
                <c:pt idx="3">
                  <c:v>103.3955742344265</c:v>
                </c:pt>
                <c:pt idx="4">
                  <c:v>83.14830866105234</c:v>
                </c:pt>
                <c:pt idx="5">
                  <c:v>71.501818567992132</c:v>
                </c:pt>
                <c:pt idx="6">
                  <c:v>64.382908639063913</c:v>
                </c:pt>
                <c:pt idx="7">
                  <c:v>57.920259802136741</c:v>
                </c:pt>
                <c:pt idx="8">
                  <c:v>52.047644632352103</c:v>
                </c:pt>
                <c:pt idx="9">
                  <c:v>46.351225100690442</c:v>
                </c:pt>
                <c:pt idx="10">
                  <c:v>37.941074189367441</c:v>
                </c:pt>
                <c:pt idx="11">
                  <c:v>31.257147034279683</c:v>
                </c:pt>
              </c:numCache>
            </c:numRef>
          </c:val>
          <c:smooth val="0"/>
          <c:extLst>
            <c:ext xmlns:c16="http://schemas.microsoft.com/office/drawing/2014/chart" uri="{C3380CC4-5D6E-409C-BE32-E72D297353CC}">
              <c16:uniqueId val="{00000002-334E-4CB7-90E1-B2066296D0E3}"/>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valAx>
        <c:axId val="179279632"/>
        <c:scaling>
          <c:orientation val="minMax"/>
        </c:scaling>
        <c:delete val="0"/>
        <c:axPos val="r"/>
        <c:numFmt formatCode="0" sourceLinked="1"/>
        <c:majorTickMark val="out"/>
        <c:minorTickMark val="none"/>
        <c:tickLblPos val="nextTo"/>
        <c:crossAx val="179281712"/>
        <c:crosses val="max"/>
        <c:crossBetween val="between"/>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19F5-4CC1-93B6-3B89B71065CA}"/>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360.33800000000002</c:v>
                </c:pt>
                <c:pt idx="1">
                  <c:v>137.602</c:v>
                </c:pt>
                <c:pt idx="2">
                  <c:v>222.73600000000002</c:v>
                </c:pt>
              </c:numCache>
            </c:numRef>
          </c:val>
          <c:extLst>
            <c:ext xmlns:c16="http://schemas.microsoft.com/office/drawing/2014/chart" uri="{C3380CC4-5D6E-409C-BE32-E72D297353CC}">
              <c16:uniqueId val="{00000001-19F5-4CC1-93B6-3B89B71065CA}"/>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19F5-4CC1-93B6-3B89B71065CA}"/>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19F5-4CC1-93B6-3B89B71065CA}"/>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2316.21</c:v>
                </c:pt>
                <c:pt idx="1">
                  <c:v>1137</c:v>
                </c:pt>
                <c:pt idx="2">
                  <c:v>1179.21</c:v>
                </c:pt>
              </c:numCache>
            </c:numRef>
          </c:val>
          <c:extLst>
            <c:ext xmlns:c16="http://schemas.microsoft.com/office/drawing/2014/chart" uri="{C3380CC4-5D6E-409C-BE32-E72D297353CC}">
              <c16:uniqueId val="{00000004-19F5-4CC1-93B6-3B89B71065CA}"/>
            </c:ext>
          </c:extLst>
        </c:ser>
        <c:ser>
          <c:idx val="5"/>
          <c:order val="5"/>
          <c:tx>
            <c:strRef>
              <c:f>Sheet1!$G$1</c:f>
              <c:strCache>
                <c:ptCount val="1"/>
                <c:pt idx="0">
                  <c:v>2024</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2208.1790000000001</c:v>
                </c:pt>
                <c:pt idx="1">
                  <c:v>937.82299999999998</c:v>
                </c:pt>
                <c:pt idx="2">
                  <c:v>1270.3560000000002</c:v>
                </c:pt>
              </c:numCache>
            </c:numRef>
          </c:val>
          <c:extLst>
            <c:ext xmlns:c16="http://schemas.microsoft.com/office/drawing/2014/chart" uri="{C3380CC4-5D6E-409C-BE32-E72D297353CC}">
              <c16:uniqueId val="{00000005-19F5-4CC1-93B6-3B89B71065CA}"/>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83706699503307"/>
          <c:y val="3.4106528854150719E-2"/>
          <c:w val="0.85643889341418533"/>
          <c:h val="0.74242302029319507"/>
        </c:manualLayout>
      </c:layout>
      <c:barChart>
        <c:barDir val="col"/>
        <c:grouping val="stacked"/>
        <c:varyColors val="0"/>
        <c:ser>
          <c:idx val="1"/>
          <c:order val="1"/>
          <c:tx>
            <c:strRef>
              <c:f>Sheet1!$D$1</c:f>
              <c:strCache>
                <c:ptCount val="1"/>
                <c:pt idx="0">
                  <c:v>ՌԴ</c:v>
                </c:pt>
              </c:strCache>
            </c:strRef>
          </c:tx>
          <c:spPr>
            <a:solidFill>
              <a:srgbClr val="4F81BD">
                <a:lumMod val="75000"/>
              </a:srgbClr>
            </a:solidFill>
            <a:ln>
              <a:noFill/>
            </a:ln>
            <a:effectLst/>
          </c:spPr>
          <c:invertIfNegative val="0"/>
          <c:cat>
            <c:multiLvlStrRef>
              <c:f>Sheet1!$A$1:$B$29</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2020</c:v>
                  </c:pt>
                  <c:pt idx="5">
                    <c:v>2021</c:v>
                  </c:pt>
                  <c:pt idx="9">
                    <c:v>2022</c:v>
                  </c:pt>
                  <c:pt idx="13">
                    <c:v>2023</c:v>
                  </c:pt>
                  <c:pt idx="17">
                    <c:v>2024</c:v>
                  </c:pt>
                </c:lvl>
              </c:multiLvlStrCache>
            </c:multiLvlStrRef>
          </c:cat>
          <c:val>
            <c:numRef>
              <c:f>Sheet1!$D$2:$D$29</c:f>
              <c:numCache>
                <c:formatCode>0.0</c:formatCode>
                <c:ptCount val="20"/>
                <c:pt idx="0">
                  <c:v>77.714060000000003</c:v>
                </c:pt>
                <c:pt idx="1">
                  <c:v>50.1432</c:v>
                </c:pt>
                <c:pt idx="2">
                  <c:v>114.17736000000001</c:v>
                </c:pt>
                <c:pt idx="3">
                  <c:v>122.73272</c:v>
                </c:pt>
                <c:pt idx="4">
                  <c:v>67.980919999999998</c:v>
                </c:pt>
                <c:pt idx="5">
                  <c:v>118.7869</c:v>
                </c:pt>
                <c:pt idx="6">
                  <c:v>158.30554999999998</c:v>
                </c:pt>
                <c:pt idx="7">
                  <c:v>118.69959999999998</c:v>
                </c:pt>
                <c:pt idx="8">
                  <c:v>118.26725</c:v>
                </c:pt>
                <c:pt idx="9">
                  <c:v>814.20412999999996</c:v>
                </c:pt>
                <c:pt idx="10">
                  <c:v>1090.5065999999999</c:v>
                </c:pt>
                <c:pt idx="11">
                  <c:v>1122.2293199999999</c:v>
                </c:pt>
                <c:pt idx="12">
                  <c:v>1079.4368399999998</c:v>
                </c:pt>
                <c:pt idx="13">
                  <c:v>709.71907999999996</c:v>
                </c:pt>
                <c:pt idx="14">
                  <c:v>707.88398000000007</c:v>
                </c:pt>
                <c:pt idx="15" formatCode="_(* #,##0_);_(* \(#,##0\);_(* &quot;-&quot;??_);_(@_)">
                  <c:v>807.40522999999996</c:v>
                </c:pt>
                <c:pt idx="16" formatCode="_(* #,##0_);_(* \(#,##0\);_(* &quot;-&quot;??_);_(@_)">
                  <c:v>656.62074999999993</c:v>
                </c:pt>
                <c:pt idx="17" formatCode="_(* #,##0_);_(* \(#,##0\);_(* &quot;-&quot;??_);_(@_)">
                  <c:v>682.37557000000004</c:v>
                </c:pt>
                <c:pt idx="18" formatCode="_(* #,##0_);_(* \(#,##0\);_(* &quot;-&quot;??_);_(@_)">
                  <c:v>782.58720000000005</c:v>
                </c:pt>
                <c:pt idx="19" formatCode="_(* #,##0_);_(* \(#,##0\);_(* &quot;-&quot;??_);_(@_)">
                  <c:v>1011.3248699999999</c:v>
                </c:pt>
              </c:numCache>
            </c:numRef>
          </c:val>
          <c:extLst>
            <c:ext xmlns:c16="http://schemas.microsoft.com/office/drawing/2014/chart" uri="{C3380CC4-5D6E-409C-BE32-E72D297353CC}">
              <c16:uniqueId val="{00000000-C20E-49F5-B971-0DC37B6AF8B8}"/>
            </c:ext>
          </c:extLst>
        </c:ser>
        <c:ser>
          <c:idx val="2"/>
          <c:order val="2"/>
          <c:tx>
            <c:strRef>
              <c:f>Sheet1!$E$1</c:f>
              <c:strCache>
                <c:ptCount val="1"/>
                <c:pt idx="0">
                  <c:v>Այլ</c:v>
                </c:pt>
              </c:strCache>
            </c:strRef>
          </c:tx>
          <c:spPr>
            <a:solidFill>
              <a:sysClr val="window" lastClr="FFFFFF">
                <a:lumMod val="65000"/>
              </a:sysClr>
            </a:solidFill>
            <a:ln>
              <a:noFill/>
            </a:ln>
            <a:effectLst/>
          </c:spPr>
          <c:invertIfNegative val="0"/>
          <c:cat>
            <c:multiLvlStrRef>
              <c:f>Sheet1!$A$1:$B$29</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2020</c:v>
                  </c:pt>
                  <c:pt idx="5">
                    <c:v>2021</c:v>
                  </c:pt>
                  <c:pt idx="9">
                    <c:v>2022</c:v>
                  </c:pt>
                  <c:pt idx="13">
                    <c:v>2023</c:v>
                  </c:pt>
                  <c:pt idx="17">
                    <c:v>2024</c:v>
                  </c:pt>
                </c:lvl>
              </c:multiLvlStrCache>
            </c:multiLvlStrRef>
          </c:cat>
          <c:val>
            <c:numRef>
              <c:f>Sheet1!$E$2:$E$29</c:f>
              <c:numCache>
                <c:formatCode>0.0</c:formatCode>
                <c:ptCount val="20"/>
                <c:pt idx="0">
                  <c:v>9.6641899999999907</c:v>
                </c:pt>
                <c:pt idx="1">
                  <c:v>55.252929999999999</c:v>
                </c:pt>
                <c:pt idx="2">
                  <c:v>122.69107999999999</c:v>
                </c:pt>
                <c:pt idx="3">
                  <c:v>21.96302</c:v>
                </c:pt>
                <c:pt idx="4">
                  <c:v>61.103229999999996</c:v>
                </c:pt>
                <c:pt idx="5">
                  <c:v>135.01109000000002</c:v>
                </c:pt>
                <c:pt idx="6">
                  <c:v>129.02368999999999</c:v>
                </c:pt>
                <c:pt idx="7">
                  <c:v>94.40330000000003</c:v>
                </c:pt>
                <c:pt idx="8">
                  <c:v>72.026169999999993</c:v>
                </c:pt>
                <c:pt idx="9">
                  <c:v>-10.573099999999954</c:v>
                </c:pt>
                <c:pt idx="10">
                  <c:v>-354.89396999999997</c:v>
                </c:pt>
                <c:pt idx="11">
                  <c:v>-268.12218999999993</c:v>
                </c:pt>
                <c:pt idx="12">
                  <c:v>-526.24767999999995</c:v>
                </c:pt>
                <c:pt idx="13">
                  <c:v>-365.22444000000002</c:v>
                </c:pt>
                <c:pt idx="14">
                  <c:v>-275.18345999999997</c:v>
                </c:pt>
                <c:pt idx="15" formatCode="0">
                  <c:v>-483.07689000000005</c:v>
                </c:pt>
                <c:pt idx="16" formatCode="0">
                  <c:v>-378.06104000000005</c:v>
                </c:pt>
                <c:pt idx="17" formatCode="0">
                  <c:v>-365.52707000000004</c:v>
                </c:pt>
                <c:pt idx="18" formatCode="0">
                  <c:v>-490.01512999999994</c:v>
                </c:pt>
                <c:pt idx="19" formatCode="0">
                  <c:v>-389.93096000000003</c:v>
                </c:pt>
              </c:numCache>
            </c:numRef>
          </c:val>
          <c:extLst>
            <c:ext xmlns:c16="http://schemas.microsoft.com/office/drawing/2014/chart" uri="{C3380CC4-5D6E-409C-BE32-E72D297353CC}">
              <c16:uniqueId val="{00000001-C20E-49F5-B971-0DC37B6AF8B8}"/>
            </c:ext>
          </c:extLst>
        </c:ser>
        <c:dLbls>
          <c:showLegendKey val="0"/>
          <c:showVal val="0"/>
          <c:showCatName val="0"/>
          <c:showSerName val="0"/>
          <c:showPercent val="0"/>
          <c:showBubbleSize val="0"/>
        </c:dLbls>
        <c:gapWidth val="150"/>
        <c:overlap val="100"/>
        <c:axId val="612017536"/>
        <c:axId val="1"/>
      </c:barChart>
      <c:lineChart>
        <c:grouping val="standard"/>
        <c:varyColors val="0"/>
        <c:ser>
          <c:idx val="0"/>
          <c:order val="0"/>
          <c:tx>
            <c:strRef>
              <c:f>Sheet1!$C$1</c:f>
              <c:strCache>
                <c:ptCount val="1"/>
                <c:pt idx="0">
                  <c:v>Ընդամենը</c:v>
                </c:pt>
              </c:strCache>
            </c:strRef>
          </c:tx>
          <c:spPr>
            <a:ln w="28575" cap="rnd">
              <a:solidFill>
                <a:srgbClr val="F79646">
                  <a:lumMod val="60000"/>
                  <a:lumOff val="40000"/>
                </a:srgbClr>
              </a:solidFill>
              <a:round/>
            </a:ln>
            <a:effectLst/>
          </c:spPr>
          <c:marker>
            <c:symbol val="none"/>
          </c:marker>
          <c:cat>
            <c:multiLvlStrRef>
              <c:f>Sheet1!$A$6:$B$29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Sheet1!$C$2:$C$29</c:f>
              <c:numCache>
                <c:formatCode>0.0</c:formatCode>
                <c:ptCount val="20"/>
                <c:pt idx="0">
                  <c:v>87.378249999999994</c:v>
                </c:pt>
                <c:pt idx="1">
                  <c:v>105.39613</c:v>
                </c:pt>
                <c:pt idx="2">
                  <c:v>236.86843999999999</c:v>
                </c:pt>
                <c:pt idx="3">
                  <c:v>144.69574</c:v>
                </c:pt>
                <c:pt idx="4">
                  <c:v>129.08414999999999</c:v>
                </c:pt>
                <c:pt idx="5">
                  <c:v>253.79799000000003</c:v>
                </c:pt>
                <c:pt idx="6">
                  <c:v>287.32923999999997</c:v>
                </c:pt>
                <c:pt idx="7">
                  <c:v>213.10290000000001</c:v>
                </c:pt>
                <c:pt idx="8">
                  <c:v>190.29342</c:v>
                </c:pt>
                <c:pt idx="9">
                  <c:v>803.63103000000001</c:v>
                </c:pt>
                <c:pt idx="10">
                  <c:v>735.61262999999997</c:v>
                </c:pt>
                <c:pt idx="11">
                  <c:v>854.10712999999998</c:v>
                </c:pt>
                <c:pt idx="12">
                  <c:v>553.18916000000002</c:v>
                </c:pt>
                <c:pt idx="13">
                  <c:v>344.49464</c:v>
                </c:pt>
                <c:pt idx="14">
                  <c:v>432.70051999999998</c:v>
                </c:pt>
                <c:pt idx="15" formatCode="_(* #,##0_);_(* \(#,##0\);_(* &quot;-&quot;??_);_(@_)">
                  <c:v>324.32833999999991</c:v>
                </c:pt>
                <c:pt idx="16" formatCode="_(* #,##0_);_(* \(#,##0\);_(* &quot;-&quot;??_);_(@_)">
                  <c:v>278.55970999999988</c:v>
                </c:pt>
                <c:pt idx="17" formatCode="_(* #,##0_);_(* \(#,##0\);_(* &quot;-&quot;??_);_(@_)">
                  <c:v>316.8485</c:v>
                </c:pt>
                <c:pt idx="18" formatCode="_(* #,##0_);_(* \(#,##0\);_(* &quot;-&quot;??_);_(@_)">
                  <c:v>292.57207000000011</c:v>
                </c:pt>
                <c:pt idx="19" formatCode="_(* #,##0_);_(* \(#,##0\);_(* &quot;-&quot;??_);_(@_)">
                  <c:v>621.39391000000001</c:v>
                </c:pt>
              </c:numCache>
            </c:numRef>
          </c:val>
          <c:smooth val="0"/>
          <c:extLst>
            <c:ext xmlns:c16="http://schemas.microsoft.com/office/drawing/2014/chart" uri="{C3380CC4-5D6E-409C-BE32-E72D297353CC}">
              <c16:uniqueId val="{00000002-C20E-49F5-B971-0DC37B6AF8B8}"/>
            </c:ext>
          </c:extLst>
        </c:ser>
        <c:dLbls>
          <c:showLegendKey val="0"/>
          <c:showVal val="0"/>
          <c:showCatName val="0"/>
          <c:showSerName val="0"/>
          <c:showPercent val="0"/>
          <c:showBubbleSize val="0"/>
        </c:dLbls>
        <c:marker val="1"/>
        <c:smooth val="0"/>
        <c:axId val="612017536"/>
        <c:axId val="1"/>
      </c:lineChart>
      <c:catAx>
        <c:axId val="612017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900" b="0" i="0" u="none" strike="noStrike" baseline="0">
                    <a:solidFill>
                      <a:srgbClr val="333333"/>
                    </a:solidFill>
                    <a:latin typeface="GHEA Grapalat"/>
                    <a:ea typeface="GHEA Grapalat"/>
                    <a:cs typeface="GHEA Grapalat"/>
                  </a:defRPr>
                </a:pPr>
                <a:r>
                  <a:rPr lang="hy-AM" sz="900"/>
                  <a:t>մլն ԱՄՆ դոլար</a:t>
                </a:r>
              </a:p>
            </c:rich>
          </c:tx>
          <c:overlay val="0"/>
          <c:spPr>
            <a:noFill/>
            <a:ln w="25400">
              <a:noFill/>
            </a:ln>
          </c:spPr>
        </c:title>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536"/>
        <c:crosses val="autoZero"/>
        <c:crossBetween val="between"/>
      </c:valAx>
      <c:spPr>
        <a:solidFill>
          <a:schemeClr val="bg1"/>
        </a:solidFill>
        <a:ln>
          <a:noFill/>
        </a:ln>
        <a:effectLst/>
      </c:spPr>
    </c:plotArea>
    <c:legend>
      <c:legendPos val="b"/>
      <c:layout>
        <c:manualLayout>
          <c:xMode val="edge"/>
          <c:yMode val="edge"/>
          <c:x val="0.2975528417627854"/>
          <c:y val="0.6771707333220236"/>
          <c:w val="0.37768972233424081"/>
          <c:h val="8.9202911765490334E-2"/>
        </c:manualLayout>
      </c:layout>
      <c:overlay val="0"/>
      <c:spPr>
        <a:noFill/>
        <a:ln w="25400">
          <a:noFill/>
        </a:ln>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12700" cap="flat" cmpd="sng" algn="ctr">
      <a:solidFill>
        <a:sysClr val="windowText" lastClr="000000">
          <a:lumMod val="15000"/>
          <a:lumOff val="85000"/>
        </a:sysClr>
      </a:solidFill>
      <a:round/>
    </a:ln>
    <a:effectLst/>
  </c:spPr>
  <c:txPr>
    <a:bodyPr/>
    <a:lstStyle/>
    <a:p>
      <a:pPr>
        <a:defRPr sz="1200">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61145150014247"/>
          <c:y val="4.3650793650793648E-2"/>
          <c:w val="0.79432298567978588"/>
          <c:h val="0.57743812243249826"/>
        </c:manualLayout>
      </c:layout>
      <c:barChart>
        <c:barDir val="col"/>
        <c:grouping val="stacked"/>
        <c:varyColors val="0"/>
        <c:ser>
          <c:idx val="1"/>
          <c:order val="0"/>
          <c:tx>
            <c:strRef>
              <c:f>Sheet1!$C$1</c:f>
              <c:strCache>
                <c:ptCount val="1"/>
                <c:pt idx="0">
                  <c:v>Դոլար</c:v>
                </c:pt>
              </c:strCache>
            </c:strRef>
          </c:tx>
          <c:spPr>
            <a:solidFill>
              <a:sysClr val="window" lastClr="FFFFFF">
                <a:lumMod val="50000"/>
              </a:sysClr>
            </a:solidFill>
            <a:ln>
              <a:noFill/>
            </a:ln>
            <a:effectLst>
              <a:outerShdw blurRad="40000" dist="23000" dir="5400000" rotWithShape="0">
                <a:srgbClr val="000000">
                  <a:alpha val="35000"/>
                </a:srgbClr>
              </a:outerShdw>
            </a:effectLst>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Sheet1!$C$2:$C$29</c:f>
              <c:numCache>
                <c:formatCode>0</c:formatCode>
                <c:ptCount val="20"/>
                <c:pt idx="0">
                  <c:v>-28.478107999999992</c:v>
                </c:pt>
                <c:pt idx="1">
                  <c:v>4.258640000000014</c:v>
                </c:pt>
                <c:pt idx="2">
                  <c:v>5.1264299999999992</c:v>
                </c:pt>
                <c:pt idx="3">
                  <c:v>-90.218759999999975</c:v>
                </c:pt>
                <c:pt idx="4">
                  <c:v>-44.764182000000062</c:v>
                </c:pt>
                <c:pt idx="5">
                  <c:v>-47.872495999999956</c:v>
                </c:pt>
                <c:pt idx="6">
                  <c:v>-37.628922000000017</c:v>
                </c:pt>
                <c:pt idx="7">
                  <c:v>22.342673000000104</c:v>
                </c:pt>
                <c:pt idx="8">
                  <c:v>82.827041122292655</c:v>
                </c:pt>
                <c:pt idx="9">
                  <c:v>-50.18449343652253</c:v>
                </c:pt>
                <c:pt idx="10">
                  <c:v>-228.23183459037764</c:v>
                </c:pt>
                <c:pt idx="11">
                  <c:v>-326.58099857808588</c:v>
                </c:pt>
                <c:pt idx="12">
                  <c:v>-198.37948549629041</c:v>
                </c:pt>
                <c:pt idx="13">
                  <c:v>-28.113131581315599</c:v>
                </c:pt>
                <c:pt idx="14">
                  <c:v>-65.451362078463404</c:v>
                </c:pt>
                <c:pt idx="15">
                  <c:v>-277.075267131891</c:v>
                </c:pt>
                <c:pt idx="16">
                  <c:v>-316.72390526903303</c:v>
                </c:pt>
                <c:pt idx="17">
                  <c:v>-445.3869904856632</c:v>
                </c:pt>
                <c:pt idx="18">
                  <c:v>-336.34744169712991</c:v>
                </c:pt>
                <c:pt idx="19">
                  <c:v>-186.17634767990333</c:v>
                </c:pt>
              </c:numCache>
            </c:numRef>
          </c:val>
          <c:extLst>
            <c:ext xmlns:c16="http://schemas.microsoft.com/office/drawing/2014/chart" uri="{C3380CC4-5D6E-409C-BE32-E72D297353CC}">
              <c16:uniqueId val="{00000000-5BF3-428F-BBF4-347146191799}"/>
            </c:ext>
          </c:extLst>
        </c:ser>
        <c:ser>
          <c:idx val="2"/>
          <c:order val="1"/>
          <c:tx>
            <c:strRef>
              <c:f>Sheet1!$D$1</c:f>
              <c:strCache>
                <c:ptCount val="1"/>
                <c:pt idx="0">
                  <c:v>Եվրո</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Sheet1!$D$2:$D$29</c:f>
              <c:numCache>
                <c:formatCode>0</c:formatCode>
                <c:ptCount val="20"/>
                <c:pt idx="0">
                  <c:v>-57.345421499999993</c:v>
                </c:pt>
                <c:pt idx="1">
                  <c:v>-28.027285900000006</c:v>
                </c:pt>
                <c:pt idx="2">
                  <c:v>-27.659299799999985</c:v>
                </c:pt>
                <c:pt idx="3">
                  <c:v>-55.250605399999984</c:v>
                </c:pt>
                <c:pt idx="4">
                  <c:v>-37.588152999999991</c:v>
                </c:pt>
                <c:pt idx="5">
                  <c:v>-44.314930999999994</c:v>
                </c:pt>
                <c:pt idx="6">
                  <c:v>-3.6870990000000035</c:v>
                </c:pt>
                <c:pt idx="7">
                  <c:v>-47.701574000000008</c:v>
                </c:pt>
                <c:pt idx="8">
                  <c:v>38.055483617751023</c:v>
                </c:pt>
                <c:pt idx="9">
                  <c:v>-116.1097406218162</c:v>
                </c:pt>
                <c:pt idx="10">
                  <c:v>-151.48745476086947</c:v>
                </c:pt>
                <c:pt idx="11">
                  <c:v>-157.53865432476795</c:v>
                </c:pt>
                <c:pt idx="12">
                  <c:v>-174.38011295565173</c:v>
                </c:pt>
                <c:pt idx="13">
                  <c:v>-140.58972851489443</c:v>
                </c:pt>
                <c:pt idx="14">
                  <c:v>-123.25717668806097</c:v>
                </c:pt>
                <c:pt idx="15">
                  <c:v>-66.186420115155897</c:v>
                </c:pt>
                <c:pt idx="16">
                  <c:v>-260.11307755782582</c:v>
                </c:pt>
                <c:pt idx="17">
                  <c:v>-268.20698948128222</c:v>
                </c:pt>
                <c:pt idx="18">
                  <c:v>-191.93912526345309</c:v>
                </c:pt>
                <c:pt idx="19">
                  <c:v>-95.00717477615531</c:v>
                </c:pt>
              </c:numCache>
            </c:numRef>
          </c:val>
          <c:extLst>
            <c:ext xmlns:c16="http://schemas.microsoft.com/office/drawing/2014/chart" uri="{C3380CC4-5D6E-409C-BE32-E72D297353CC}">
              <c16:uniqueId val="{00000001-5BF3-428F-BBF4-347146191799}"/>
            </c:ext>
          </c:extLst>
        </c:ser>
        <c:ser>
          <c:idx val="3"/>
          <c:order val="2"/>
          <c:tx>
            <c:strRef>
              <c:f>Sheet1!$E$1</c:f>
              <c:strCache>
                <c:ptCount val="1"/>
                <c:pt idx="0">
                  <c:v>Ռուբլի</c:v>
                </c:pt>
              </c:strCache>
            </c:strRef>
          </c:tx>
          <c:spPr>
            <a:solidFill>
              <a:srgbClr val="4F81BD">
                <a:lumMod val="75000"/>
              </a:srgbClr>
            </a:solidFill>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Sheet1!$E$2:$E$29</c:f>
              <c:numCache>
                <c:formatCode>0</c:formatCode>
                <c:ptCount val="20"/>
                <c:pt idx="0">
                  <c:v>0</c:v>
                </c:pt>
                <c:pt idx="1">
                  <c:v>0</c:v>
                </c:pt>
                <c:pt idx="2">
                  <c:v>0</c:v>
                </c:pt>
                <c:pt idx="3">
                  <c:v>0</c:v>
                </c:pt>
                <c:pt idx="4">
                  <c:v>5.1814139999999966</c:v>
                </c:pt>
                <c:pt idx="5">
                  <c:v>56.355378999999999</c:v>
                </c:pt>
                <c:pt idx="6">
                  <c:v>9.5786869999999951</c:v>
                </c:pt>
                <c:pt idx="7">
                  <c:v>13.216616999999999</c:v>
                </c:pt>
                <c:pt idx="8">
                  <c:v>-31.598552698007609</c:v>
                </c:pt>
                <c:pt idx="9">
                  <c:v>190.46627119187258</c:v>
                </c:pt>
                <c:pt idx="10">
                  <c:v>423.24379297671146</c:v>
                </c:pt>
                <c:pt idx="11">
                  <c:v>550.39308050890099</c:v>
                </c:pt>
                <c:pt idx="12">
                  <c:v>436.38517693931055</c:v>
                </c:pt>
                <c:pt idx="13">
                  <c:v>376.39776191044848</c:v>
                </c:pt>
                <c:pt idx="14">
                  <c:v>295.20506021620588</c:v>
                </c:pt>
                <c:pt idx="15">
                  <c:v>329.02931109999389</c:v>
                </c:pt>
                <c:pt idx="16">
                  <c:v>510.11131165943925</c:v>
                </c:pt>
                <c:pt idx="17">
                  <c:v>756.80093481593372</c:v>
                </c:pt>
                <c:pt idx="18">
                  <c:v>585.80935789113983</c:v>
                </c:pt>
                <c:pt idx="19">
                  <c:v>252.97979954024794</c:v>
                </c:pt>
              </c:numCache>
            </c:numRef>
          </c:val>
          <c:extLst>
            <c:ext xmlns:c16="http://schemas.microsoft.com/office/drawing/2014/chart" uri="{C3380CC4-5D6E-409C-BE32-E72D297353CC}">
              <c16:uniqueId val="{00000002-5BF3-428F-BBF4-347146191799}"/>
            </c:ext>
          </c:extLst>
        </c:ser>
        <c:dLbls>
          <c:showLegendKey val="0"/>
          <c:showVal val="0"/>
          <c:showCatName val="0"/>
          <c:showSerName val="0"/>
          <c:showPercent val="0"/>
          <c:showBubbleSize val="0"/>
        </c:dLbls>
        <c:gapWidth val="100"/>
        <c:overlap val="100"/>
        <c:axId val="806771312"/>
        <c:axId val="1"/>
      </c:barChart>
      <c:lineChart>
        <c:grouping val="standard"/>
        <c:varyColors val="0"/>
        <c:ser>
          <c:idx val="0"/>
          <c:order val="3"/>
          <c:tx>
            <c:strRef>
              <c:f>Sheet1!$F$1</c:f>
              <c:strCache>
                <c:ptCount val="1"/>
                <c:pt idx="0">
                  <c:v>Զուտ առք</c:v>
                </c:pt>
              </c:strCache>
            </c:strRef>
          </c:tx>
          <c:spPr>
            <a:ln>
              <a:solidFill>
                <a:sysClr val="windowText" lastClr="000000"/>
              </a:solidFill>
            </a:ln>
          </c:spPr>
          <c:marker>
            <c:symbol val="none"/>
          </c:marker>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Sheet1!$F$2:$F$29</c:f>
              <c:numCache>
                <c:formatCode>0</c:formatCode>
                <c:ptCount val="20"/>
                <c:pt idx="0">
                  <c:v>-85.823529499999978</c:v>
                </c:pt>
                <c:pt idx="1">
                  <c:v>-23.768645899999992</c:v>
                </c:pt>
                <c:pt idx="2">
                  <c:v>-22.532869799999986</c:v>
                </c:pt>
                <c:pt idx="3">
                  <c:v>-145.46936539999996</c:v>
                </c:pt>
                <c:pt idx="4">
                  <c:v>-77.17092100000005</c:v>
                </c:pt>
                <c:pt idx="5">
                  <c:v>-35.832047999999958</c:v>
                </c:pt>
                <c:pt idx="6">
                  <c:v>-31.737334000000025</c:v>
                </c:pt>
                <c:pt idx="7">
                  <c:v>-12.142283999999904</c:v>
                </c:pt>
                <c:pt idx="8">
                  <c:v>89.283972042036069</c:v>
                </c:pt>
                <c:pt idx="9">
                  <c:v>24.172037133533848</c:v>
                </c:pt>
                <c:pt idx="10">
                  <c:v>43.524503625464376</c:v>
                </c:pt>
                <c:pt idx="11">
                  <c:v>66.273427606047164</c:v>
                </c:pt>
                <c:pt idx="12">
                  <c:v>63.625578487368443</c:v>
                </c:pt>
                <c:pt idx="13">
                  <c:v>207.69490181423845</c:v>
                </c:pt>
                <c:pt idx="14">
                  <c:v>106.4965214496815</c:v>
                </c:pt>
                <c:pt idx="15">
                  <c:v>-14.232376147053003</c:v>
                </c:pt>
                <c:pt idx="16">
                  <c:v>-66.725671167419591</c:v>
                </c:pt>
                <c:pt idx="17">
                  <c:v>43.206954848988289</c:v>
                </c:pt>
                <c:pt idx="18">
                  <c:v>57.522790930556766</c:v>
                </c:pt>
                <c:pt idx="19">
                  <c:v>-28.203722915810715</c:v>
                </c:pt>
              </c:numCache>
            </c:numRef>
          </c:val>
          <c:smooth val="0"/>
          <c:extLst>
            <c:ext xmlns:c16="http://schemas.microsoft.com/office/drawing/2014/chart" uri="{C3380CC4-5D6E-409C-BE32-E72D297353CC}">
              <c16:uniqueId val="{00000003-5BF3-428F-BBF4-347146191799}"/>
            </c:ext>
          </c:extLst>
        </c:ser>
        <c:dLbls>
          <c:showLegendKey val="0"/>
          <c:showVal val="0"/>
          <c:showCatName val="0"/>
          <c:showSerName val="0"/>
          <c:showPercent val="0"/>
          <c:showBubbleSize val="0"/>
        </c:dLbls>
        <c:marker val="1"/>
        <c:smooth val="0"/>
        <c:axId val="806771312"/>
        <c:axId val="1"/>
      </c:line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noMultiLvlLbl val="0"/>
      </c:catAx>
      <c:valAx>
        <c:axId val="1"/>
        <c:scaling>
          <c:orientation val="minMax"/>
          <c:max val="700"/>
          <c:min val="-800"/>
        </c:scaling>
        <c:delete val="0"/>
        <c:axPos val="l"/>
        <c:majorGridlines>
          <c:spPr>
            <a:ln w="9545" cap="flat" cmpd="sng" algn="ctr">
              <a:solidFill>
                <a:sysClr val="window" lastClr="FFFFFF">
                  <a:lumMod val="75000"/>
                </a:sysClr>
              </a:solidFill>
              <a:round/>
            </a:ln>
            <a:effectLst/>
          </c:spPr>
        </c:majorGridlines>
        <c:title>
          <c:tx>
            <c:rich>
              <a:bodyPr/>
              <a:lstStyle/>
              <a:p>
                <a:pPr>
                  <a:defRPr b="0"/>
                </a:pPr>
                <a:r>
                  <a:rPr lang="hy-AM" sz="1000" b="0" i="0" u="none" strike="noStrike" baseline="0">
                    <a:effectLst/>
                  </a:rPr>
                  <a:t>Մլրդ դրամ</a:t>
                </a:r>
                <a:endParaRPr lang="en-US" b="0"/>
              </a:p>
            </c:rich>
          </c:tx>
          <c:overlay val="0"/>
        </c:title>
        <c:numFmt formatCode="0" sourceLinked="1"/>
        <c:majorTickMark val="none"/>
        <c:minorTickMark val="none"/>
        <c:tickLblPos val="nextTo"/>
        <c:spPr>
          <a:ln w="9545">
            <a:noFill/>
          </a:ln>
        </c:spPr>
        <c:txPr>
          <a:bodyPr rot="-60000000" vert="horz"/>
          <a:lstStyle/>
          <a:p>
            <a:pPr>
              <a:defRPr sz="900"/>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sz="900" b="1"/>
            </a:pPr>
            <a:endParaRPr lang="en-US"/>
          </a:p>
        </c:txPr>
      </c:legendEntry>
      <c:legendEntry>
        <c:idx val="1"/>
        <c:txPr>
          <a:bodyPr rot="0" vert="horz"/>
          <a:lstStyle/>
          <a:p>
            <a:pPr>
              <a:defRPr sz="900" b="1"/>
            </a:pPr>
            <a:endParaRPr lang="en-US"/>
          </a:p>
        </c:txPr>
      </c:legendEntry>
      <c:legendEntry>
        <c:idx val="3"/>
        <c:txPr>
          <a:bodyPr rot="0" vert="horz"/>
          <a:lstStyle/>
          <a:p>
            <a:pPr>
              <a:defRPr sz="900" b="1"/>
            </a:pPr>
            <a:endParaRPr lang="en-US"/>
          </a:p>
        </c:txPr>
      </c:legendEntry>
      <c:layout>
        <c:manualLayout>
          <c:xMode val="edge"/>
          <c:yMode val="edge"/>
          <c:x val="5.189687951058717E-2"/>
          <c:y val="0.92192246460995653"/>
          <c:w val="0.94810312048941281"/>
          <c:h val="7.8077535390043459E-2"/>
        </c:manualLayout>
      </c:layout>
      <c:overlay val="0"/>
      <c:spPr>
        <a:noFill/>
        <a:ln w="25453">
          <a:noFill/>
        </a:ln>
      </c:spPr>
      <c:txPr>
        <a:bodyPr rot="0" vert="horz"/>
        <a:lstStyle/>
        <a:p>
          <a:pPr>
            <a:defRPr sz="900" b="1"/>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3187553363056"/>
          <c:y val="9.0331207537105523E-2"/>
          <c:w val="0.64999272681276277"/>
          <c:h val="0.55560690159631676"/>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Sheet1!$A$230:$B$289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Sheet1!$C$230:$C$289</c:f>
              <c:numCache>
                <c:formatCode>0</c:formatCode>
                <c:ptCount val="60"/>
                <c:pt idx="0">
                  <c:v>37.799999999999997</c:v>
                </c:pt>
                <c:pt idx="1">
                  <c:v>20</c:v>
                </c:pt>
                <c:pt idx="2">
                  <c:v>-70</c:v>
                </c:pt>
                <c:pt idx="3">
                  <c:v>-23.9</c:v>
                </c:pt>
                <c:pt idx="4">
                  <c:v>0</c:v>
                </c:pt>
                <c:pt idx="5">
                  <c:v>0</c:v>
                </c:pt>
                <c:pt idx="6">
                  <c:v>0</c:v>
                </c:pt>
                <c:pt idx="7">
                  <c:v>0</c:v>
                </c:pt>
                <c:pt idx="8">
                  <c:v>0</c:v>
                </c:pt>
                <c:pt idx="9">
                  <c:v>0</c:v>
                </c:pt>
                <c:pt idx="10">
                  <c:v>-60</c:v>
                </c:pt>
                <c:pt idx="11">
                  <c:v>-50.85</c:v>
                </c:pt>
                <c:pt idx="12">
                  <c:v>-46.8</c:v>
                </c:pt>
                <c:pt idx="13">
                  <c:v>0</c:v>
                </c:pt>
                <c:pt idx="14">
                  <c:v>-34.799999999999997</c:v>
                </c:pt>
                <c:pt idx="15">
                  <c:v>-74.7</c:v>
                </c:pt>
                <c:pt idx="16">
                  <c:v>0</c:v>
                </c:pt>
                <c:pt idx="17">
                  <c:v>7</c:v>
                </c:pt>
                <c:pt idx="18">
                  <c:v>0</c:v>
                </c:pt>
                <c:pt idx="19">
                  <c:v>0</c:v>
                </c:pt>
                <c:pt idx="20">
                  <c:v>10</c:v>
                </c:pt>
                <c:pt idx="21">
                  <c:v>0</c:v>
                </c:pt>
                <c:pt idx="22">
                  <c:v>5</c:v>
                </c:pt>
                <c:pt idx="23">
                  <c:v>0</c:v>
                </c:pt>
                <c:pt idx="24">
                  <c:v>0</c:v>
                </c:pt>
                <c:pt idx="25">
                  <c:v>0</c:v>
                </c:pt>
                <c:pt idx="26">
                  <c:v>0</c:v>
                </c:pt>
                <c:pt idx="27">
                  <c:v>67</c:v>
                </c:pt>
                <c:pt idx="28">
                  <c:v>0</c:v>
                </c:pt>
                <c:pt idx="29">
                  <c:v>100</c:v>
                </c:pt>
                <c:pt idx="30">
                  <c:v>18.5</c:v>
                </c:pt>
                <c:pt idx="31">
                  <c:v>81.3</c:v>
                </c:pt>
                <c:pt idx="32">
                  <c:v>55</c:v>
                </c:pt>
                <c:pt idx="33">
                  <c:v>80</c:v>
                </c:pt>
                <c:pt idx="34">
                  <c:v>114.1</c:v>
                </c:pt>
                <c:pt idx="35">
                  <c:v>57.9</c:v>
                </c:pt>
                <c:pt idx="36">
                  <c:v>0</c:v>
                </c:pt>
                <c:pt idx="37">
                  <c:v>40</c:v>
                </c:pt>
                <c:pt idx="38">
                  <c:v>151.30000000000001</c:v>
                </c:pt>
                <c:pt idx="39">
                  <c:v>181.6</c:v>
                </c:pt>
                <c:pt idx="40">
                  <c:v>209.5</c:v>
                </c:pt>
                <c:pt idx="41">
                  <c:v>198.8</c:v>
                </c:pt>
                <c:pt idx="42">
                  <c:v>230</c:v>
                </c:pt>
                <c:pt idx="43">
                  <c:v>165.3</c:v>
                </c:pt>
                <c:pt idx="44">
                  <c:v>20</c:v>
                </c:pt>
                <c:pt idx="45">
                  <c:v>-50</c:v>
                </c:pt>
                <c:pt idx="46">
                  <c:v>0</c:v>
                </c:pt>
                <c:pt idx="47">
                  <c:v>0</c:v>
                </c:pt>
                <c:pt idx="48">
                  <c:v>0</c:v>
                </c:pt>
                <c:pt idx="49">
                  <c:v>0</c:v>
                </c:pt>
                <c:pt idx="50">
                  <c:v>0</c:v>
                </c:pt>
                <c:pt idx="51">
                  <c:v>20</c:v>
                </c:pt>
                <c:pt idx="52">
                  <c:v>136.5</c:v>
                </c:pt>
                <c:pt idx="53">
                  <c:v>100</c:v>
                </c:pt>
                <c:pt idx="54">
                  <c:v>110</c:v>
                </c:pt>
                <c:pt idx="55">
                  <c:v>132.30000000000001</c:v>
                </c:pt>
                <c:pt idx="56">
                  <c:v>119</c:v>
                </c:pt>
                <c:pt idx="57">
                  <c:v>87.7</c:v>
                </c:pt>
                <c:pt idx="58">
                  <c:v>0</c:v>
                </c:pt>
                <c:pt idx="59">
                  <c:v>0</c:v>
                </c:pt>
              </c:numCache>
            </c:numRef>
          </c:val>
          <c:extLst>
            <c:ext xmlns:c16="http://schemas.microsoft.com/office/drawing/2014/chart" uri="{C3380CC4-5D6E-409C-BE32-E72D297353CC}">
              <c16:uniqueId val="{00000000-B76B-4A34-83E5-C12D25D74057}"/>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solidFill>
              <a:round/>
            </a:ln>
            <a:effectLst/>
          </c:spPr>
          <c:marker>
            <c:symbol val="none"/>
          </c:marker>
          <c:cat>
            <c:multiLvlStrRef>
              <c:f>Sheet1!$A$230:$B$289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Sheet1!$D$230:$D$289</c:f>
              <c:numCache>
                <c:formatCode>0</c:formatCode>
                <c:ptCount val="60"/>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c:v>395.89</c:v>
                </c:pt>
                <c:pt idx="37">
                  <c:v>393.45</c:v>
                </c:pt>
                <c:pt idx="38">
                  <c:v>388.44</c:v>
                </c:pt>
                <c:pt idx="39">
                  <c:v>387.74</c:v>
                </c:pt>
                <c:pt idx="40">
                  <c:v>386.56</c:v>
                </c:pt>
                <c:pt idx="41">
                  <c:v>386.67</c:v>
                </c:pt>
                <c:pt idx="42">
                  <c:v>386.54</c:v>
                </c:pt>
                <c:pt idx="43">
                  <c:v>386.17</c:v>
                </c:pt>
                <c:pt idx="44">
                  <c:v>386.94</c:v>
                </c:pt>
                <c:pt idx="45">
                  <c:v>404.33</c:v>
                </c:pt>
                <c:pt idx="46">
                  <c:v>402.52</c:v>
                </c:pt>
                <c:pt idx="47">
                  <c:v>404.47</c:v>
                </c:pt>
                <c:pt idx="48">
                  <c:v>404.96</c:v>
                </c:pt>
                <c:pt idx="49">
                  <c:v>404.27</c:v>
                </c:pt>
                <c:pt idx="50">
                  <c:v>400.42</c:v>
                </c:pt>
                <c:pt idx="51">
                  <c:v>390.99</c:v>
                </c:pt>
                <c:pt idx="52">
                  <c:v>387.82</c:v>
                </c:pt>
                <c:pt idx="53">
                  <c:v>388.06</c:v>
                </c:pt>
                <c:pt idx="54">
                  <c:v>388.07</c:v>
                </c:pt>
                <c:pt idx="55">
                  <c:v>388.08</c:v>
                </c:pt>
                <c:pt idx="56">
                  <c:v>387.37</c:v>
                </c:pt>
                <c:pt idx="57">
                  <c:v>387.2</c:v>
                </c:pt>
                <c:pt idx="58">
                  <c:v>388.97</c:v>
                </c:pt>
                <c:pt idx="59">
                  <c:v>396.55</c:v>
                </c:pt>
              </c:numCache>
            </c:numRef>
          </c:val>
          <c:smooth val="0"/>
          <c:extLst>
            <c:ext xmlns:c16="http://schemas.microsoft.com/office/drawing/2014/chart" uri="{C3380CC4-5D6E-409C-BE32-E72D297353CC}">
              <c16:uniqueId val="{00000001-B76B-4A34-83E5-C12D25D74057}"/>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30"/>
          <c:min val="38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476077538501E-2"/>
          <c:y val="0.84842347575405541"/>
          <c:w val="0.96435885273376976"/>
          <c:h val="0.1367199803149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Sheet1!$C$2:$C$85</c:f>
              <c:numCache>
                <c:formatCode>_(* #,##0_);_(* \(#,##0\);_(* "-"??_);_(@_)</c:formatCode>
                <c:ptCount val="60"/>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formatCode="0.0">
                  <c:v>395.89</c:v>
                </c:pt>
                <c:pt idx="37" formatCode="0.0">
                  <c:v>393.45</c:v>
                </c:pt>
                <c:pt idx="38" formatCode="0.0">
                  <c:v>388.44</c:v>
                </c:pt>
                <c:pt idx="39" formatCode="0.0">
                  <c:v>387.74</c:v>
                </c:pt>
                <c:pt idx="40" formatCode="0.0">
                  <c:v>386.56</c:v>
                </c:pt>
                <c:pt idx="41" formatCode="0.0">
                  <c:v>386.67</c:v>
                </c:pt>
                <c:pt idx="42" formatCode="0.0">
                  <c:v>386.54</c:v>
                </c:pt>
                <c:pt idx="43" formatCode="0.0">
                  <c:v>386.17</c:v>
                </c:pt>
                <c:pt idx="44" formatCode="0.0">
                  <c:v>386.94</c:v>
                </c:pt>
                <c:pt idx="45" formatCode="0.0">
                  <c:v>404.33</c:v>
                </c:pt>
                <c:pt idx="46" formatCode="0.0">
                  <c:v>402.52</c:v>
                </c:pt>
                <c:pt idx="47" formatCode="0.0">
                  <c:v>404.47</c:v>
                </c:pt>
                <c:pt idx="48">
                  <c:v>404.96</c:v>
                </c:pt>
                <c:pt idx="49">
                  <c:v>404.27</c:v>
                </c:pt>
                <c:pt idx="50">
                  <c:v>400.42</c:v>
                </c:pt>
                <c:pt idx="51">
                  <c:v>390.99</c:v>
                </c:pt>
                <c:pt idx="52">
                  <c:v>387.82</c:v>
                </c:pt>
                <c:pt idx="53">
                  <c:v>388.06</c:v>
                </c:pt>
                <c:pt idx="54">
                  <c:v>388.07</c:v>
                </c:pt>
                <c:pt idx="55">
                  <c:v>388.08</c:v>
                </c:pt>
                <c:pt idx="56">
                  <c:v>387.37</c:v>
                </c:pt>
                <c:pt idx="57">
                  <c:v>387.2</c:v>
                </c:pt>
                <c:pt idx="58">
                  <c:v>388.97</c:v>
                </c:pt>
                <c:pt idx="59">
                  <c:v>396.55</c:v>
                </c:pt>
              </c:numCache>
            </c:numRef>
          </c:val>
          <c:smooth val="0"/>
          <c:extLst>
            <c:ext xmlns:c16="http://schemas.microsoft.com/office/drawing/2014/chart" uri="{C3380CC4-5D6E-409C-BE32-E72D297353CC}">
              <c16:uniqueId val="{00000000-8CCD-42A4-B26F-FE9CA01E16AE}"/>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Sheet1!$D$2:$D$85</c:f>
              <c:numCache>
                <c:formatCode>_(* #,##0_);_(* \(#,##0\);_(* "-"??_);_(@_)</c:formatCode>
                <c:ptCount val="60"/>
                <c:pt idx="0">
                  <c:v>531.41</c:v>
                </c:pt>
                <c:pt idx="1">
                  <c:v>522.57000000000005</c:v>
                </c:pt>
                <c:pt idx="2">
                  <c:v>541.09</c:v>
                </c:pt>
                <c:pt idx="3">
                  <c:v>531.36</c:v>
                </c:pt>
                <c:pt idx="4">
                  <c:v>526.54</c:v>
                </c:pt>
                <c:pt idx="5">
                  <c:v>541.78</c:v>
                </c:pt>
                <c:pt idx="6">
                  <c:v>555.25</c:v>
                </c:pt>
                <c:pt idx="7">
                  <c:v>574.41</c:v>
                </c:pt>
                <c:pt idx="8">
                  <c:v>573.95000000000005</c:v>
                </c:pt>
                <c:pt idx="9">
                  <c:v>578.66999999999996</c:v>
                </c:pt>
                <c:pt idx="10">
                  <c:v>591.30999999999995</c:v>
                </c:pt>
                <c:pt idx="11">
                  <c:v>631.22</c:v>
                </c:pt>
                <c:pt idx="12">
                  <c:v>633.02</c:v>
                </c:pt>
                <c:pt idx="13">
                  <c:v>633.41999999999996</c:v>
                </c:pt>
                <c:pt idx="14">
                  <c:v>628.03</c:v>
                </c:pt>
                <c:pt idx="15">
                  <c:v>628.44000000000005</c:v>
                </c:pt>
                <c:pt idx="16">
                  <c:v>633.21</c:v>
                </c:pt>
                <c:pt idx="17">
                  <c:v>618.41999999999996</c:v>
                </c:pt>
                <c:pt idx="18">
                  <c:v>580.29</c:v>
                </c:pt>
                <c:pt idx="19">
                  <c:v>578.80999999999995</c:v>
                </c:pt>
                <c:pt idx="20">
                  <c:v>574.82000000000005</c:v>
                </c:pt>
                <c:pt idx="21">
                  <c:v>555.86</c:v>
                </c:pt>
                <c:pt idx="22">
                  <c:v>545.17999999999995</c:v>
                </c:pt>
                <c:pt idx="23">
                  <c:v>548.21</c:v>
                </c:pt>
                <c:pt idx="24">
                  <c:v>546.25</c:v>
                </c:pt>
                <c:pt idx="25">
                  <c:v>544.47</c:v>
                </c:pt>
                <c:pt idx="26">
                  <c:v>547.79999999999995</c:v>
                </c:pt>
                <c:pt idx="27">
                  <c:v>509.88</c:v>
                </c:pt>
                <c:pt idx="28">
                  <c:v>482.99</c:v>
                </c:pt>
                <c:pt idx="29">
                  <c:v>446.99</c:v>
                </c:pt>
                <c:pt idx="30">
                  <c:v>418.36</c:v>
                </c:pt>
                <c:pt idx="31">
                  <c:v>410.96</c:v>
                </c:pt>
                <c:pt idx="32">
                  <c:v>405.41</c:v>
                </c:pt>
                <c:pt idx="33">
                  <c:v>395.78</c:v>
                </c:pt>
                <c:pt idx="34">
                  <c:v>403.14</c:v>
                </c:pt>
                <c:pt idx="35">
                  <c:v>417.71</c:v>
                </c:pt>
                <c:pt idx="36" formatCode="0.0">
                  <c:v>427.28</c:v>
                </c:pt>
                <c:pt idx="37" formatCode="0.0">
                  <c:v>421.68</c:v>
                </c:pt>
                <c:pt idx="38" formatCode="0.0">
                  <c:v>416.08</c:v>
                </c:pt>
                <c:pt idx="39" formatCode="0.0">
                  <c:v>425.09</c:v>
                </c:pt>
                <c:pt idx="40" formatCode="0.0">
                  <c:v>419.8</c:v>
                </c:pt>
                <c:pt idx="41" formatCode="0.0">
                  <c:v>419.13</c:v>
                </c:pt>
                <c:pt idx="42" formatCode="0.0">
                  <c:v>427.81</c:v>
                </c:pt>
                <c:pt idx="43" formatCode="0.0">
                  <c:v>421.3</c:v>
                </c:pt>
                <c:pt idx="44" formatCode="0.0">
                  <c:v>413.53</c:v>
                </c:pt>
                <c:pt idx="45" formatCode="0.0">
                  <c:v>427.01</c:v>
                </c:pt>
                <c:pt idx="46" formatCode="0.0">
                  <c:v>434.88</c:v>
                </c:pt>
                <c:pt idx="47" formatCode="0.0">
                  <c:v>441.5</c:v>
                </c:pt>
                <c:pt idx="48">
                  <c:v>441.39</c:v>
                </c:pt>
                <c:pt idx="49">
                  <c:v>436.26</c:v>
                </c:pt>
                <c:pt idx="50">
                  <c:v>435.1</c:v>
                </c:pt>
                <c:pt idx="51">
                  <c:v>419.62</c:v>
                </c:pt>
                <c:pt idx="52">
                  <c:v>419.36</c:v>
                </c:pt>
                <c:pt idx="53">
                  <c:v>417.56</c:v>
                </c:pt>
                <c:pt idx="54">
                  <c:v>420.88</c:v>
                </c:pt>
                <c:pt idx="55">
                  <c:v>427.32</c:v>
                </c:pt>
                <c:pt idx="56">
                  <c:v>430.28</c:v>
                </c:pt>
                <c:pt idx="57">
                  <c:v>422.29</c:v>
                </c:pt>
                <c:pt idx="58">
                  <c:v>413.34</c:v>
                </c:pt>
                <c:pt idx="59">
                  <c:v>415.3</c:v>
                </c:pt>
              </c:numCache>
            </c:numRef>
          </c:val>
          <c:smooth val="0"/>
          <c:extLst>
            <c:ext xmlns:c16="http://schemas.microsoft.com/office/drawing/2014/chart" uri="{C3380CC4-5D6E-409C-BE32-E72D297353CC}">
              <c16:uniqueId val="{00000001-8CCD-42A4-B26F-FE9CA01E16AE}"/>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_(* #,##0_);_(* \(#,##0\);_(* "-"??_);_(@_)</c:formatCode>
                <c:ptCount val="60"/>
                <c:pt idx="0">
                  <c:v>7.75</c:v>
                </c:pt>
                <c:pt idx="1">
                  <c:v>7.47</c:v>
                </c:pt>
                <c:pt idx="2">
                  <c:v>6.61</c:v>
                </c:pt>
                <c:pt idx="3">
                  <c:v>6.51</c:v>
                </c:pt>
                <c:pt idx="4">
                  <c:v>6.65</c:v>
                </c:pt>
                <c:pt idx="5">
                  <c:v>6.95</c:v>
                </c:pt>
                <c:pt idx="6">
                  <c:v>6.78</c:v>
                </c:pt>
                <c:pt idx="7">
                  <c:v>6.58</c:v>
                </c:pt>
                <c:pt idx="8">
                  <c:v>6.41</c:v>
                </c:pt>
                <c:pt idx="9">
                  <c:v>6.33</c:v>
                </c:pt>
                <c:pt idx="10">
                  <c:v>6.5</c:v>
                </c:pt>
                <c:pt idx="11">
                  <c:v>7</c:v>
                </c:pt>
                <c:pt idx="12">
                  <c:v>7.01</c:v>
                </c:pt>
                <c:pt idx="13">
                  <c:v>7.04</c:v>
                </c:pt>
                <c:pt idx="14">
                  <c:v>7.09</c:v>
                </c:pt>
                <c:pt idx="15">
                  <c:v>6.91</c:v>
                </c:pt>
                <c:pt idx="16">
                  <c:v>7.04</c:v>
                </c:pt>
                <c:pt idx="17">
                  <c:v>7.07</c:v>
                </c:pt>
                <c:pt idx="18">
                  <c:v>6.64</c:v>
                </c:pt>
                <c:pt idx="19">
                  <c:v>6.68</c:v>
                </c:pt>
                <c:pt idx="20">
                  <c:v>6.7</c:v>
                </c:pt>
                <c:pt idx="21">
                  <c:v>6.71</c:v>
                </c:pt>
                <c:pt idx="22">
                  <c:v>6.56</c:v>
                </c:pt>
                <c:pt idx="23">
                  <c:v>6.58</c:v>
                </c:pt>
                <c:pt idx="24">
                  <c:v>6.32</c:v>
                </c:pt>
                <c:pt idx="25">
                  <c:v>6.16</c:v>
                </c:pt>
                <c:pt idx="26">
                  <c:v>4.83</c:v>
                </c:pt>
                <c:pt idx="27">
                  <c:v>6.1</c:v>
                </c:pt>
                <c:pt idx="28">
                  <c:v>7.17</c:v>
                </c:pt>
                <c:pt idx="29">
                  <c:v>7.48</c:v>
                </c:pt>
                <c:pt idx="30">
                  <c:v>7.04</c:v>
                </c:pt>
                <c:pt idx="31">
                  <c:v>6.72</c:v>
                </c:pt>
                <c:pt idx="32">
                  <c:v>6.9</c:v>
                </c:pt>
                <c:pt idx="33">
                  <c:v>6.56</c:v>
                </c:pt>
                <c:pt idx="34">
                  <c:v>6.5</c:v>
                </c:pt>
                <c:pt idx="35">
                  <c:v>5.99</c:v>
                </c:pt>
                <c:pt idx="36" formatCode="0.0">
                  <c:v>5.71</c:v>
                </c:pt>
                <c:pt idx="37" formatCode="0.0">
                  <c:v>5.37</c:v>
                </c:pt>
                <c:pt idx="38" formatCode="0.0">
                  <c:v>5.0999999999999996</c:v>
                </c:pt>
                <c:pt idx="39" formatCode="0.0">
                  <c:v>4.78</c:v>
                </c:pt>
                <c:pt idx="40" formatCode="0.0">
                  <c:v>4.88</c:v>
                </c:pt>
                <c:pt idx="41" formatCode="0.0">
                  <c:v>4.63</c:v>
                </c:pt>
                <c:pt idx="42" formatCode="0.0">
                  <c:v>4.2699999999999996</c:v>
                </c:pt>
                <c:pt idx="43" formatCode="0.0">
                  <c:v>4.04</c:v>
                </c:pt>
                <c:pt idx="44" formatCode="0.0">
                  <c:v>4</c:v>
                </c:pt>
                <c:pt idx="45" formatCode="0.0">
                  <c:v>4.18</c:v>
                </c:pt>
                <c:pt idx="46" formatCode="0.0">
                  <c:v>4.46</c:v>
                </c:pt>
                <c:pt idx="47" formatCode="0.0">
                  <c:v>4.45</c:v>
                </c:pt>
                <c:pt idx="48" formatCode="General">
                  <c:v>4.54</c:v>
                </c:pt>
                <c:pt idx="49" formatCode="General">
                  <c:v>4.41</c:v>
                </c:pt>
                <c:pt idx="50" formatCode="General">
                  <c:v>4.3600000000000003</c:v>
                </c:pt>
                <c:pt idx="51" formatCode="General">
                  <c:v>4.2</c:v>
                </c:pt>
                <c:pt idx="52" formatCode="General">
                  <c:v>4.2699999999999996</c:v>
                </c:pt>
                <c:pt idx="53" formatCode="General">
                  <c:v>4.42</c:v>
                </c:pt>
                <c:pt idx="54" formatCode="General">
                  <c:v>4.4400000000000004</c:v>
                </c:pt>
                <c:pt idx="55" formatCode="General">
                  <c:v>4.38</c:v>
                </c:pt>
                <c:pt idx="56" formatCode="General">
                  <c:v>4.24</c:v>
                </c:pt>
                <c:pt idx="57" formatCode="General">
                  <c:v>4.0199999999999996</c:v>
                </c:pt>
                <c:pt idx="58" formatCode="General">
                  <c:v>3.85</c:v>
                </c:pt>
                <c:pt idx="59" formatCode="General">
                  <c:v>3.86</c:v>
                </c:pt>
              </c:numCache>
            </c:numRef>
          </c:val>
          <c:smooth val="0"/>
          <c:extLst>
            <c:ext xmlns:c16="http://schemas.microsoft.com/office/drawing/2014/chart" uri="{C3380CC4-5D6E-409C-BE32-E72D297353CC}">
              <c16:uniqueId val="{00000002-8CCD-42A4-B26F-FE9CA01E16AE}"/>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9999320939449395E-2"/>
          <c:y val="0.90165381576437886"/>
          <c:w val="0.9"/>
          <c:h val="9.4470787836603315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00892609942745"/>
          <c:y val="8.9545756780402455E-2"/>
          <c:w val="0.79986666223684066"/>
          <c:h val="0.58376552930883641"/>
        </c:manualLayout>
      </c:layout>
      <c:lineChart>
        <c:grouping val="standard"/>
        <c:varyColors val="0"/>
        <c:ser>
          <c:idx val="0"/>
          <c:order val="0"/>
          <c:tx>
            <c:strRef>
              <c:f>Sheet1!$D$1</c:f>
              <c:strCache>
                <c:ptCount val="1"/>
                <c:pt idx="0">
                  <c:v>Անվանական</c:v>
                </c:pt>
              </c:strCache>
            </c:strRef>
          </c:tx>
          <c:spPr>
            <a:ln w="28575" cap="rnd">
              <a:solidFill>
                <a:srgbClr val="1F497D"/>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Sheet1!$D$14:$D$73</c:f>
              <c:numCache>
                <c:formatCode>0.0</c:formatCode>
                <c:ptCount val="60"/>
                <c:pt idx="0">
                  <c:v>100</c:v>
                </c:pt>
                <c:pt idx="1">
                  <c:v>102.27676740051963</c:v>
                </c:pt>
                <c:pt idx="2">
                  <c:v>104.79283467797076</c:v>
                </c:pt>
                <c:pt idx="3">
                  <c:v>107.30890195542185</c:v>
                </c:pt>
                <c:pt idx="4">
                  <c:v>107.63024750444413</c:v>
                </c:pt>
                <c:pt idx="5">
                  <c:v>105.90045125119649</c:v>
                </c:pt>
                <c:pt idx="6">
                  <c:v>106.41323670176398</c:v>
                </c:pt>
                <c:pt idx="7">
                  <c:v>106.42007384110489</c:v>
                </c:pt>
                <c:pt idx="8">
                  <c:v>107.80801312730755</c:v>
                </c:pt>
                <c:pt idx="9">
                  <c:v>108.23875290578424</c:v>
                </c:pt>
                <c:pt idx="10">
                  <c:v>105.33296868590185</c:v>
                </c:pt>
                <c:pt idx="11">
                  <c:v>98.919731984137869</c:v>
                </c:pt>
                <c:pt idx="12">
                  <c:v>109.84548065089571</c:v>
                </c:pt>
                <c:pt idx="13">
                  <c:v>109.64036647066872</c:v>
                </c:pt>
                <c:pt idx="14">
                  <c:v>110.05743197046361</c:v>
                </c:pt>
                <c:pt idx="15">
                  <c:v>111.28811705182558</c:v>
                </c:pt>
                <c:pt idx="16">
                  <c:v>110.04375769178181</c:v>
                </c:pt>
                <c:pt idx="17">
                  <c:v>111.74620538766587</c:v>
                </c:pt>
                <c:pt idx="18">
                  <c:v>118.51497333515665</c:v>
                </c:pt>
                <c:pt idx="19">
                  <c:v>118.63120470395195</c:v>
                </c:pt>
                <c:pt idx="20">
                  <c:v>119.37645289211002</c:v>
                </c:pt>
                <c:pt idx="21">
                  <c:v>121.83098591549303</c:v>
                </c:pt>
                <c:pt idx="22">
                  <c:v>124.28551893887604</c:v>
                </c:pt>
                <c:pt idx="23">
                  <c:v>125.1333242171476</c:v>
                </c:pt>
                <c:pt idx="24">
                  <c:v>143.74401750307678</c:v>
                </c:pt>
                <c:pt idx="25">
                  <c:v>144.44140571584856</c:v>
                </c:pt>
                <c:pt idx="26">
                  <c:v>154.11595788322174</c:v>
                </c:pt>
                <c:pt idx="27">
                  <c:v>150.84780527827164</c:v>
                </c:pt>
                <c:pt idx="28">
                  <c:v>150.49227403254486</c:v>
                </c:pt>
                <c:pt idx="29">
                  <c:v>157.92424449610289</c:v>
                </c:pt>
                <c:pt idx="30">
                  <c:v>165.52714344318343</c:v>
                </c:pt>
                <c:pt idx="31">
                  <c:v>170.09435252290447</c:v>
                </c:pt>
                <c:pt idx="32">
                  <c:v>170.96266921919874</c:v>
                </c:pt>
                <c:pt idx="33">
                  <c:v>176.82893477369072</c:v>
                </c:pt>
                <c:pt idx="34">
                  <c:v>178.72965951046086</c:v>
                </c:pt>
                <c:pt idx="35">
                  <c:v>180.97907835361687</c:v>
                </c:pt>
                <c:pt idx="36">
                  <c:v>204.1227950225626</c:v>
                </c:pt>
                <c:pt idx="37">
                  <c:v>211.26760563380284</c:v>
                </c:pt>
                <c:pt idx="38">
                  <c:v>217.69451661424861</c:v>
                </c:pt>
                <c:pt idx="39">
                  <c:v>221.40024613701627</c:v>
                </c:pt>
                <c:pt idx="40">
                  <c:v>221.85833447285654</c:v>
                </c:pt>
                <c:pt idx="41">
                  <c:v>227.28702310953096</c:v>
                </c:pt>
                <c:pt idx="42">
                  <c:v>233.24217147545465</c:v>
                </c:pt>
                <c:pt idx="43">
                  <c:v>239.01271707917405</c:v>
                </c:pt>
                <c:pt idx="44">
                  <c:v>241.57664433201145</c:v>
                </c:pt>
                <c:pt idx="45">
                  <c:v>232.92082592643237</c:v>
                </c:pt>
                <c:pt idx="46">
                  <c:v>227.23916313414466</c:v>
                </c:pt>
                <c:pt idx="47">
                  <c:v>224.96923287296593</c:v>
                </c:pt>
                <c:pt idx="48">
                  <c:v>233.44044851634075</c:v>
                </c:pt>
                <c:pt idx="49">
                  <c:v>237.91193764528919</c:v>
                </c:pt>
                <c:pt idx="50">
                  <c:v>241.29632161903456</c:v>
                </c:pt>
                <c:pt idx="51">
                  <c:v>250.43073977847664</c:v>
                </c:pt>
                <c:pt idx="52">
                  <c:v>249.27526322986458</c:v>
                </c:pt>
                <c:pt idx="53">
                  <c:v>247.17626145220834</c:v>
                </c:pt>
                <c:pt idx="54">
                  <c:v>245.97292492820998</c:v>
                </c:pt>
                <c:pt idx="55">
                  <c:v>246.15752769041427</c:v>
                </c:pt>
                <c:pt idx="56">
                  <c:v>247.29932996034458</c:v>
                </c:pt>
                <c:pt idx="57">
                  <c:v>254.93641460412962</c:v>
                </c:pt>
                <c:pt idx="58">
                  <c:v>261.42485983864356</c:v>
                </c:pt>
                <c:pt idx="59">
                  <c:v>261.97183098591552</c:v>
                </c:pt>
              </c:numCache>
            </c:numRef>
          </c:val>
          <c:smooth val="0"/>
          <c:extLst>
            <c:ext xmlns:c16="http://schemas.microsoft.com/office/drawing/2014/chart" uri="{C3380CC4-5D6E-409C-BE32-E72D297353CC}">
              <c16:uniqueId val="{00000000-B8CA-4FAC-95ED-059D8C5C3B18}"/>
            </c:ext>
          </c:extLst>
        </c:ser>
        <c:ser>
          <c:idx val="1"/>
          <c:order val="1"/>
          <c:tx>
            <c:strRef>
              <c:f>Sheet1!$C$1</c:f>
              <c:strCache>
                <c:ptCount val="1"/>
                <c:pt idx="0">
                  <c:v>Իրական</c:v>
                </c:pt>
              </c:strCache>
            </c:strRef>
          </c:tx>
          <c:spPr>
            <a:ln w="28575" cap="rnd">
              <a:solidFill>
                <a:srgbClr val="F79646"/>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Sheet1!$C$14:$C$73</c:f>
              <c:numCache>
                <c:formatCode>0.0</c:formatCode>
                <c:ptCount val="60"/>
                <c:pt idx="0">
                  <c:v>100</c:v>
                </c:pt>
                <c:pt idx="1">
                  <c:v>101.80616029672633</c:v>
                </c:pt>
                <c:pt idx="2">
                  <c:v>104.64441219158199</c:v>
                </c:pt>
                <c:pt idx="3">
                  <c:v>107.80519271085308</c:v>
                </c:pt>
                <c:pt idx="4">
                  <c:v>107.82938235768422</c:v>
                </c:pt>
                <c:pt idx="5">
                  <c:v>104.26544105789387</c:v>
                </c:pt>
                <c:pt idx="6">
                  <c:v>102.24963715529751</c:v>
                </c:pt>
                <c:pt idx="7">
                  <c:v>101.76584421867437</c:v>
                </c:pt>
                <c:pt idx="8">
                  <c:v>102.62054507337524</c:v>
                </c:pt>
                <c:pt idx="9">
                  <c:v>102.83825189485566</c:v>
                </c:pt>
                <c:pt idx="10">
                  <c:v>100.92726979519432</c:v>
                </c:pt>
                <c:pt idx="11">
                  <c:v>97.387518142235123</c:v>
                </c:pt>
                <c:pt idx="12">
                  <c:v>108.20029027576197</c:v>
                </c:pt>
                <c:pt idx="13">
                  <c:v>107.90195129817771</c:v>
                </c:pt>
                <c:pt idx="14">
                  <c:v>108.65183034994357</c:v>
                </c:pt>
                <c:pt idx="15">
                  <c:v>110.61119174326723</c:v>
                </c:pt>
                <c:pt idx="16">
                  <c:v>108.45024995968393</c:v>
                </c:pt>
                <c:pt idx="17">
                  <c:v>108.65183034994357</c:v>
                </c:pt>
                <c:pt idx="18">
                  <c:v>114.07837445573296</c:v>
                </c:pt>
                <c:pt idx="19">
                  <c:v>114.1186905337849</c:v>
                </c:pt>
                <c:pt idx="20">
                  <c:v>114.00580551523949</c:v>
                </c:pt>
                <c:pt idx="21">
                  <c:v>115.83615545879699</c:v>
                </c:pt>
                <c:pt idx="22">
                  <c:v>119.14207385905502</c:v>
                </c:pt>
                <c:pt idx="23">
                  <c:v>120.60151588453479</c:v>
                </c:pt>
                <c:pt idx="24">
                  <c:v>137.94549266247387</c:v>
                </c:pt>
                <c:pt idx="25">
                  <c:v>137.18755039509762</c:v>
                </c:pt>
                <c:pt idx="26">
                  <c:v>144.07353652636678</c:v>
                </c:pt>
                <c:pt idx="27">
                  <c:v>142.25931301403006</c:v>
                </c:pt>
                <c:pt idx="28">
                  <c:v>141.08208353491378</c:v>
                </c:pt>
                <c:pt idx="29">
                  <c:v>146.83115626511858</c:v>
                </c:pt>
                <c:pt idx="30">
                  <c:v>151.16110304789558</c:v>
                </c:pt>
                <c:pt idx="31">
                  <c:v>155.10401548137406</c:v>
                </c:pt>
                <c:pt idx="32">
                  <c:v>155.74907273020489</c:v>
                </c:pt>
                <c:pt idx="33">
                  <c:v>160.28866311885187</c:v>
                </c:pt>
                <c:pt idx="34">
                  <c:v>163.25592646347371</c:v>
                </c:pt>
                <c:pt idx="35">
                  <c:v>166.59409772617329</c:v>
                </c:pt>
                <c:pt idx="36">
                  <c:v>186.97790678922763</c:v>
                </c:pt>
                <c:pt idx="37">
                  <c:v>192.48508305112091</c:v>
                </c:pt>
                <c:pt idx="38">
                  <c:v>196.79084018706672</c:v>
                </c:pt>
                <c:pt idx="39">
                  <c:v>198.282535074988</c:v>
                </c:pt>
                <c:pt idx="40">
                  <c:v>194.59764554104186</c:v>
                </c:pt>
                <c:pt idx="41">
                  <c:v>195.45234639574269</c:v>
                </c:pt>
                <c:pt idx="42">
                  <c:v>197.18593775197559</c:v>
                </c:pt>
                <c:pt idx="43">
                  <c:v>200.91920657958403</c:v>
                </c:pt>
                <c:pt idx="44">
                  <c:v>203.53168843734889</c:v>
                </c:pt>
                <c:pt idx="45">
                  <c:v>195.63780035478155</c:v>
                </c:pt>
                <c:pt idx="46">
                  <c:v>191.0095145944203</c:v>
                </c:pt>
                <c:pt idx="47">
                  <c:v>189.81615868408326</c:v>
                </c:pt>
                <c:pt idx="48">
                  <c:v>201.99161425576526</c:v>
                </c:pt>
                <c:pt idx="49">
                  <c:v>202.67698758264802</c:v>
                </c:pt>
                <c:pt idx="50">
                  <c:v>205.46686018384139</c:v>
                </c:pt>
                <c:pt idx="51">
                  <c:v>212.44154168682479</c:v>
                </c:pt>
                <c:pt idx="52">
                  <c:v>208.55507176261898</c:v>
                </c:pt>
                <c:pt idx="53">
                  <c:v>203.78164812127082</c:v>
                </c:pt>
                <c:pt idx="54">
                  <c:v>200.45960328979206</c:v>
                </c:pt>
                <c:pt idx="55">
                  <c:v>200.05644250927278</c:v>
                </c:pt>
                <c:pt idx="56">
                  <c:v>200.59667795516862</c:v>
                </c:pt>
                <c:pt idx="57">
                  <c:v>205.87002096436066</c:v>
                </c:pt>
                <c:pt idx="58">
                  <c:v>212.75600709562985</c:v>
                </c:pt>
                <c:pt idx="59">
                  <c:v>213.88485728108381</c:v>
                </c:pt>
              </c:numCache>
            </c:numRef>
          </c:val>
          <c:smooth val="0"/>
          <c:extLst>
            <c:ext xmlns:c16="http://schemas.microsoft.com/office/drawing/2014/chart" uri="{C3380CC4-5D6E-409C-BE32-E72D297353CC}">
              <c16:uniqueId val="{00000001-B8CA-4FAC-95ED-059D8C5C3B18}"/>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majorUnit val="20"/>
        <c:minorUnit val="10"/>
      </c:valAx>
      <c:spPr>
        <a:noFill/>
        <a:ln>
          <a:noFill/>
        </a:ln>
        <a:effectLst/>
      </c:spPr>
    </c:plotArea>
    <c:legend>
      <c:legendPos val="b"/>
      <c:layout>
        <c:manualLayout>
          <c:xMode val="edge"/>
          <c:yMode val="edge"/>
          <c:x val="0.15800041360960809"/>
          <c:y val="0.90165374688692512"/>
          <c:w val="0.68386371208242935"/>
          <c:h val="9.8348615513969839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2023</a:t>
            </a:r>
            <a:r>
              <a:rPr lang="hy-AM" b="0"/>
              <a:t>-</a:t>
            </a:r>
            <a:r>
              <a:rPr lang="en-US" b="0"/>
              <a:t>20</a:t>
            </a:r>
            <a:r>
              <a:rPr lang="hy-AM" b="0"/>
              <a:t>2</a:t>
            </a:r>
            <a:r>
              <a:rPr lang="en-US" b="0"/>
              <a:t>4թ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ABB-448E-99CC-ACA7C99F9583}"/>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ABB-448E-99CC-ACA7C99F9583}"/>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ABB-448E-99CC-ACA7C99F9583}"/>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FABB-448E-99CC-ACA7C99F9583}"/>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ABB-448E-99CC-ACA7C99F9583}"/>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FABB-448E-99CC-ACA7C99F9583}"/>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BB-448E-99CC-ACA7C99F958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FABB-448E-99CC-ACA7C99F9583}"/>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pt idx="3">
                  <c:v>19.857256752747858</c:v>
                </c:pt>
                <c:pt idx="4">
                  <c:v>20.004331439745982</c:v>
                </c:pt>
                <c:pt idx="5">
                  <c:v>20.312680484584988</c:v>
                </c:pt>
                <c:pt idx="6">
                  <c:v>19.912198419657699</c:v>
                </c:pt>
                <c:pt idx="7">
                  <c:v>22.139936364942557</c:v>
                </c:pt>
                <c:pt idx="8">
                  <c:v>23.169612503405816</c:v>
                </c:pt>
                <c:pt idx="9">
                  <c:v>23.3890250930137</c:v>
                </c:pt>
                <c:pt idx="10">
                  <c:v>24.503621917249546</c:v>
                </c:pt>
                <c:pt idx="11">
                  <c:v>27.131234945307853</c:v>
                </c:pt>
              </c:numCache>
            </c:numRef>
          </c:val>
          <c:smooth val="0"/>
          <c:extLst>
            <c:ext xmlns:c16="http://schemas.microsoft.com/office/drawing/2014/chart" uri="{C3380CC4-5D6E-409C-BE32-E72D297353CC}">
              <c16:uniqueId val="{00000008-FABB-448E-99CC-ACA7C99F9583}"/>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none"/>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scaling>
        <c:delete val="0"/>
        <c:axPos val="l"/>
        <c:majorGridlines>
          <c:spPr>
            <a:ln>
              <a:solidFill>
                <a:sysClr val="window" lastClr="FFFFFF">
                  <a:lumMod val="85000"/>
                </a:sysClr>
              </a:solidFill>
            </a:ln>
          </c:spPr>
        </c:majorGridlines>
        <c:numFmt formatCode="0" sourceLinked="0"/>
        <c:majorTickMark val="none"/>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922759655041E-2"/>
          <c:y val="0.80973701135040244"/>
          <c:w val="0.20615384615384616"/>
          <c:h val="0.148843379142105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a:t>
            </a:r>
            <a:r>
              <a:rPr lang="en-US" b="0"/>
              <a:t>3</a:t>
            </a:r>
            <a:r>
              <a:rPr lang="hy-AM" b="0"/>
              <a:t>-</a:t>
            </a:r>
            <a:r>
              <a:rPr lang="en-US" b="0"/>
              <a:t>20</a:t>
            </a:r>
            <a:r>
              <a:rPr lang="hy-AM" b="0"/>
              <a:t>2</a:t>
            </a:r>
            <a:r>
              <a:rPr lang="en-US" b="0"/>
              <a:t>4թ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E0BF-42C2-918F-22B8B6C69C6B}"/>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E0BF-42C2-918F-22B8B6C69C6B}"/>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E0BF-42C2-918F-22B8B6C69C6B}"/>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E0BF-42C2-918F-22B8B6C69C6B}"/>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E0BF-42C2-918F-22B8B6C69C6B}"/>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E0BF-42C2-918F-22B8B6C69C6B}"/>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E0BF-42C2-918F-22B8B6C69C6B}"/>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pt idx="3">
                  <c:v>10.470692239672942</c:v>
                </c:pt>
                <c:pt idx="4">
                  <c:v>14.910124818629072</c:v>
                </c:pt>
                <c:pt idx="5">
                  <c:v>14.034599941619746</c:v>
                </c:pt>
                <c:pt idx="6">
                  <c:v>12.897838441048464</c:v>
                </c:pt>
                <c:pt idx="7">
                  <c:v>12.311352146659743</c:v>
                </c:pt>
                <c:pt idx="8">
                  <c:v>12.29726945652925</c:v>
                </c:pt>
                <c:pt idx="9">
                  <c:v>11.641527091085806</c:v>
                </c:pt>
                <c:pt idx="10">
                  <c:v>13.038959329198434</c:v>
                </c:pt>
                <c:pt idx="11">
                  <c:v>15.049762276573858</c:v>
                </c:pt>
              </c:numCache>
            </c:numRef>
          </c:val>
          <c:smooth val="0"/>
          <c:extLst>
            <c:ext xmlns:c16="http://schemas.microsoft.com/office/drawing/2014/chart" uri="{C3380CC4-5D6E-409C-BE32-E72D297353CC}">
              <c16:uniqueId val="{00000007-E0BF-42C2-918F-22B8B6C69C6B}"/>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none"/>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0"/>
        </c:scaling>
        <c:delete val="0"/>
        <c:axPos val="l"/>
        <c:majorGridlines>
          <c:spPr>
            <a:ln>
              <a:solidFill>
                <a:sysClr val="window" lastClr="FFFFFF">
                  <a:lumMod val="85000"/>
                </a:sysClr>
              </a:solidFill>
            </a:ln>
          </c:spPr>
        </c:majorGridlines>
        <c:numFmt formatCode="0" sourceLinked="0"/>
        <c:majorTickMark val="none"/>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9308102616205234E-2"/>
          <c:y val="0.78649715297215739"/>
          <c:w val="0.20260394792104158"/>
          <c:h val="0.148843379142105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D9E3-4FAB-BB52-BD8A944557C6}"/>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D9E3-4FAB-BB52-BD8A944557C6}"/>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D9E3-4FAB-BB52-BD8A944557C6}"/>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D9E3-4FAB-BB52-BD8A944557C6}"/>
            </c:ext>
          </c:extLst>
        </c:ser>
        <c:dLbls>
          <c:showLegendKey val="0"/>
          <c:showVal val="0"/>
          <c:showCatName val="0"/>
          <c:showSerName val="0"/>
          <c:showPercent val="0"/>
          <c:showBubbleSize val="0"/>
        </c:dLbls>
        <c:smooth val="0"/>
        <c:axId val="1913056624"/>
        <c:axId val="1913053360"/>
      </c:lineChart>
      <c:catAx>
        <c:axId val="1913056624"/>
        <c:scaling>
          <c:orientation val="minMax"/>
        </c:scaling>
        <c:delete val="1"/>
        <c:axPos val="b"/>
        <c:numFmt formatCode="General" sourceLinked="1"/>
        <c:majorTickMark val="none"/>
        <c:minorTickMark val="none"/>
        <c:tickLblPos val="low"/>
        <c:crossAx val="1913053360"/>
        <c:crosses val="autoZero"/>
        <c:auto val="1"/>
        <c:lblAlgn val="ctr"/>
        <c:lblOffset val="100"/>
        <c:noMultiLvlLbl val="0"/>
      </c:catAx>
      <c:valAx>
        <c:axId val="1913053360"/>
        <c:scaling>
          <c:orientation val="minMax"/>
          <c:max val="21"/>
        </c:scaling>
        <c:delete val="1"/>
        <c:axPos val="l"/>
        <c:numFmt formatCode="General" sourceLinked="1"/>
        <c:majorTickMark val="none"/>
        <c:minorTickMark val="none"/>
        <c:tickLblPos val="nextTo"/>
        <c:crossAx val="1913056624"/>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baseline="0">
                <a:solidFill>
                  <a:schemeClr val="tx1"/>
                </a:solidFill>
              </a:rPr>
              <a:t>Ռեզիդենտների վարկային պորտֆելը, մլրդ ՀՀ դրամ</a:t>
            </a:r>
            <a:endParaRPr lang="en-US" sz="1000" baseline="0">
              <a:solidFill>
                <a:schemeClr val="tx1"/>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9505282622472629"/>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Sheet1!$H$2:$H$72</c:f>
              <c:numCache>
                <c:formatCode>General</c:formatCode>
                <c:ptCount val="16"/>
              </c:numCache>
            </c:numRef>
          </c:val>
          <c:extLst>
            <c:ext xmlns:c16="http://schemas.microsoft.com/office/drawing/2014/chart" uri="{C3380CC4-5D6E-409C-BE32-E72D297353CC}">
              <c16:uniqueId val="{00000000-26EC-4F98-8FF9-A7B41B5F8881}"/>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Sheet1!$I$2:$I$72</c:f>
              <c:numCache>
                <c:formatCode>General</c:formatCode>
                <c:ptCount val="16"/>
              </c:numCache>
            </c:numRef>
          </c:val>
          <c:extLst>
            <c:ext xmlns:c16="http://schemas.microsoft.com/office/drawing/2014/chart" uri="{C3380CC4-5D6E-409C-BE32-E72D297353CC}">
              <c16:uniqueId val="{00000001-26EC-4F98-8FF9-A7B41B5F8881}"/>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Sheet1!$C$2:$C$76</c:f>
              <c:numCache>
                <c:formatCode>0.0</c:formatCode>
                <c:ptCount val="20"/>
                <c:pt idx="0">
                  <c:v>1815.7468719999999</c:v>
                </c:pt>
                <c:pt idx="1">
                  <c:v>1836.2722710000003</c:v>
                </c:pt>
                <c:pt idx="2">
                  <c:v>1959.0920599999997</c:v>
                </c:pt>
                <c:pt idx="3">
                  <c:v>2091.3401699999999</c:v>
                </c:pt>
                <c:pt idx="4">
                  <c:v>2086.7286224722147</c:v>
                </c:pt>
                <c:pt idx="5">
                  <c:v>1966.5195811297567</c:v>
                </c:pt>
                <c:pt idx="6">
                  <c:v>1937.0785153998636</c:v>
                </c:pt>
                <c:pt idx="7">
                  <c:v>1942.037</c:v>
                </c:pt>
                <c:pt idx="8">
                  <c:v>2005.4380839999999</c:v>
                </c:pt>
                <c:pt idx="9">
                  <c:v>1886.193053</c:v>
                </c:pt>
                <c:pt idx="10">
                  <c:v>1865.018071</c:v>
                </c:pt>
                <c:pt idx="11">
                  <c:v>1896.1247096419504</c:v>
                </c:pt>
                <c:pt idx="12">
                  <c:v>1952.0819837726899</c:v>
                </c:pt>
                <c:pt idx="13">
                  <c:v>2003.9120680061151</c:v>
                </c:pt>
                <c:pt idx="14">
                  <c:v>2120.1880922250002</c:v>
                </c:pt>
                <c:pt idx="15">
                  <c:v>2284.7222884820003</c:v>
                </c:pt>
                <c:pt idx="16">
                  <c:v>2283.3755694280003</c:v>
                </c:pt>
                <c:pt idx="17">
                  <c:v>2408.6069475795998</c:v>
                </c:pt>
                <c:pt idx="18">
                  <c:v>2523.8083098628999</c:v>
                </c:pt>
                <c:pt idx="19">
                  <c:v>2725.5213446069001</c:v>
                </c:pt>
              </c:numCache>
            </c:numRef>
          </c:val>
          <c:extLst>
            <c:ext xmlns:c16="http://schemas.microsoft.com/office/drawing/2014/chart" uri="{C3380CC4-5D6E-409C-BE32-E72D297353CC}">
              <c16:uniqueId val="{00000002-26EC-4F98-8FF9-A7B41B5F8881}"/>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Sheet1!$D$2:$D$76</c:f>
              <c:numCache>
                <c:formatCode>0.0</c:formatCode>
                <c:ptCount val="20"/>
                <c:pt idx="0">
                  <c:v>951.94207299999994</c:v>
                </c:pt>
                <c:pt idx="1">
                  <c:v>955.53028000000006</c:v>
                </c:pt>
                <c:pt idx="2">
                  <c:v>960.91446799999994</c:v>
                </c:pt>
                <c:pt idx="3">
                  <c:v>929.04224399999998</c:v>
                </c:pt>
                <c:pt idx="4">
                  <c:v>915.56433019917631</c:v>
                </c:pt>
                <c:pt idx="5">
                  <c:v>871.24731988103053</c:v>
                </c:pt>
                <c:pt idx="6">
                  <c:v>833.16175229414921</c:v>
                </c:pt>
                <c:pt idx="7">
                  <c:v>824.83699999999999</c:v>
                </c:pt>
                <c:pt idx="8">
                  <c:v>834.40724999999998</c:v>
                </c:pt>
                <c:pt idx="9">
                  <c:v>828.159403</c:v>
                </c:pt>
                <c:pt idx="10">
                  <c:v>837.56598800000006</c:v>
                </c:pt>
                <c:pt idx="11">
                  <c:v>895.46070828430993</c:v>
                </c:pt>
                <c:pt idx="12">
                  <c:v>928.58755423187995</c:v>
                </c:pt>
                <c:pt idx="13">
                  <c:v>962.64040905260003</c:v>
                </c:pt>
                <c:pt idx="14">
                  <c:v>1040.8464891979888</c:v>
                </c:pt>
                <c:pt idx="15">
                  <c:v>1085.6999280610123</c:v>
                </c:pt>
                <c:pt idx="16">
                  <c:v>1159.2858576850078</c:v>
                </c:pt>
                <c:pt idx="17">
                  <c:v>1207.8495750108002</c:v>
                </c:pt>
                <c:pt idx="18">
                  <c:v>1287.5889233437697</c:v>
                </c:pt>
                <c:pt idx="19">
                  <c:v>1447.462633434621</c:v>
                </c:pt>
              </c:numCache>
            </c:numRef>
          </c:val>
          <c:extLst>
            <c:ext xmlns:c16="http://schemas.microsoft.com/office/drawing/2014/chart" uri="{C3380CC4-5D6E-409C-BE32-E72D297353CC}">
              <c16:uniqueId val="{00000003-26EC-4F98-8FF9-A7B41B5F8881}"/>
            </c:ext>
          </c:extLst>
        </c:ser>
        <c:ser>
          <c:idx val="2"/>
          <c:order val="2"/>
          <c:tx>
            <c:strRef>
              <c:f>Sheet1!$E$1</c:f>
              <c:strCache>
                <c:ptCount val="1"/>
                <c:pt idx="0">
                  <c:v>Հիպոտեկային վարկեր</c:v>
                </c:pt>
              </c:strCache>
            </c:strRef>
          </c:tx>
          <c:spPr>
            <a:solidFill>
              <a:schemeClr val="accent3"/>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Sheet1!$E$2:$E$76</c:f>
              <c:numCache>
                <c:formatCode>0.0</c:formatCode>
                <c:ptCount val="20"/>
                <c:pt idx="0">
                  <c:v>394.95331799999997</c:v>
                </c:pt>
                <c:pt idx="1">
                  <c:v>404.61893999999995</c:v>
                </c:pt>
                <c:pt idx="2">
                  <c:v>441.16723500000001</c:v>
                </c:pt>
                <c:pt idx="3">
                  <c:v>481.21191599999997</c:v>
                </c:pt>
                <c:pt idx="4">
                  <c:v>517.18580457345661</c:v>
                </c:pt>
                <c:pt idx="5">
                  <c:v>551.45232219393165</c:v>
                </c:pt>
                <c:pt idx="6">
                  <c:v>587.25406379402125</c:v>
                </c:pt>
                <c:pt idx="7">
                  <c:v>654.66800000000001</c:v>
                </c:pt>
                <c:pt idx="8">
                  <c:v>698.01737800000001</c:v>
                </c:pt>
                <c:pt idx="9">
                  <c:v>721.901929</c:v>
                </c:pt>
                <c:pt idx="10">
                  <c:v>780.3971140000001</c:v>
                </c:pt>
                <c:pt idx="11">
                  <c:v>849.39562202326942</c:v>
                </c:pt>
                <c:pt idx="12">
                  <c:v>897.7484755981593</c:v>
                </c:pt>
                <c:pt idx="13">
                  <c:v>958.98347913076861</c:v>
                </c:pt>
                <c:pt idx="14">
                  <c:v>996.39323869900204</c:v>
                </c:pt>
                <c:pt idx="15">
                  <c:v>1073.8172222169969</c:v>
                </c:pt>
                <c:pt idx="16">
                  <c:v>1112.6189246420022</c:v>
                </c:pt>
                <c:pt idx="17">
                  <c:v>1174.8212144912998</c:v>
                </c:pt>
                <c:pt idx="18">
                  <c:v>1271.3757066178996</c:v>
                </c:pt>
                <c:pt idx="19">
                  <c:v>1423.2101558835006</c:v>
                </c:pt>
              </c:numCache>
            </c:numRef>
          </c:val>
          <c:extLst>
            <c:ext xmlns:c16="http://schemas.microsoft.com/office/drawing/2014/chart" uri="{C3380CC4-5D6E-409C-BE32-E72D297353CC}">
              <c16:uniqueId val="{00000004-26EC-4F98-8FF9-A7B41B5F8881}"/>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Sheet1!$F$2:$F$76</c:f>
              <c:numCache>
                <c:formatCode>0.0</c:formatCode>
                <c:ptCount val="20"/>
                <c:pt idx="0">
                  <c:v>248.97432500000002</c:v>
                </c:pt>
                <c:pt idx="1">
                  <c:v>258.95920799999999</c:v>
                </c:pt>
                <c:pt idx="2">
                  <c:v>256.17615900000004</c:v>
                </c:pt>
                <c:pt idx="3">
                  <c:v>233.249537</c:v>
                </c:pt>
                <c:pt idx="4">
                  <c:v>170.45870753685111</c:v>
                </c:pt>
                <c:pt idx="5">
                  <c:v>139.68690193375738</c:v>
                </c:pt>
                <c:pt idx="6">
                  <c:v>142.25712648839331</c:v>
                </c:pt>
                <c:pt idx="7">
                  <c:v>159.523</c:v>
                </c:pt>
                <c:pt idx="8">
                  <c:v>136.39778000000001</c:v>
                </c:pt>
                <c:pt idx="9">
                  <c:v>142.09570299999999</c:v>
                </c:pt>
                <c:pt idx="10">
                  <c:v>142.944087</c:v>
                </c:pt>
                <c:pt idx="11">
                  <c:v>154.99269228273002</c:v>
                </c:pt>
                <c:pt idx="12">
                  <c:v>166.44938810615997</c:v>
                </c:pt>
                <c:pt idx="13">
                  <c:v>180.29877700057</c:v>
                </c:pt>
                <c:pt idx="14">
                  <c:v>169.17829878299992</c:v>
                </c:pt>
                <c:pt idx="15">
                  <c:v>178.73143826099997</c:v>
                </c:pt>
                <c:pt idx="16">
                  <c:v>170.65163805700007</c:v>
                </c:pt>
                <c:pt idx="17">
                  <c:v>181.80499148630011</c:v>
                </c:pt>
                <c:pt idx="18">
                  <c:v>257.99209257929999</c:v>
                </c:pt>
                <c:pt idx="19">
                  <c:v>276.2936312615002</c:v>
                </c:pt>
              </c:numCache>
            </c:numRef>
          </c:val>
          <c:extLst>
            <c:ext xmlns:c16="http://schemas.microsoft.com/office/drawing/2014/chart" uri="{C3380CC4-5D6E-409C-BE32-E72D297353CC}">
              <c16:uniqueId val="{00000005-26EC-4F98-8FF9-A7B41B5F8881}"/>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Sheet1!$G$2:$G$76</c:f>
              <c:numCache>
                <c:formatCode>0.0</c:formatCode>
                <c:ptCount val="20"/>
                <c:pt idx="0">
                  <c:v>50.124039514743281</c:v>
                </c:pt>
                <c:pt idx="1">
                  <c:v>48.479425114185922</c:v>
                </c:pt>
                <c:pt idx="2">
                  <c:v>48.137841294526851</c:v>
                </c:pt>
                <c:pt idx="3">
                  <c:v>49.511987263652472</c:v>
                </c:pt>
                <c:pt idx="4">
                  <c:v>49.360514110896666</c:v>
                </c:pt>
                <c:pt idx="5">
                  <c:v>46.436641172828367</c:v>
                </c:pt>
                <c:pt idx="6">
                  <c:v>45.230440273230847</c:v>
                </c:pt>
                <c:pt idx="7">
                  <c:v>43.773631182802802</c:v>
                </c:pt>
                <c:pt idx="8">
                  <c:v>44.228337680079136</c:v>
                </c:pt>
                <c:pt idx="9">
                  <c:v>38.958793125140616</c:v>
                </c:pt>
                <c:pt idx="10">
                  <c:v>36.988487672147144</c:v>
                </c:pt>
                <c:pt idx="11">
                  <c:v>35.590459031217357</c:v>
                </c:pt>
                <c:pt idx="12">
                  <c:v>35.416563649843262</c:v>
                </c:pt>
                <c:pt idx="13">
                  <c:v>34.174308617877578</c:v>
                </c:pt>
                <c:pt idx="14">
                  <c:v>34.219620758329327</c:v>
                </c:pt>
                <c:pt idx="15">
                  <c:v>34.219620758329327</c:v>
                </c:pt>
                <c:pt idx="16">
                  <c:v>32.579081205192594</c:v>
                </c:pt>
                <c:pt idx="17">
                  <c:v>31.94218177826264</c:v>
                </c:pt>
                <c:pt idx="18">
                  <c:v>32.241036612425084</c:v>
                </c:pt>
                <c:pt idx="19">
                  <c:v>31.565361400000004</c:v>
                </c:pt>
              </c:numCache>
            </c:numRef>
          </c:val>
          <c:smooth val="0"/>
          <c:extLst>
            <c:ext xmlns:c16="http://schemas.microsoft.com/office/drawing/2014/chart" uri="{C3380CC4-5D6E-409C-BE32-E72D297353CC}">
              <c16:uniqueId val="{00000006-26EC-4F98-8FF9-A7B41B5F8881}"/>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60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8860767404074494"/>
          <c:w val="0.98481843975110583"/>
          <c:h val="0.211392325959255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baseline="0">
                <a:solidFill>
                  <a:schemeClr val="tx1"/>
                </a:solidFill>
              </a:rPr>
              <a:t>Բանկերի ավանդային պորտֆելը, մլրդ ՀՀ դրամ</a:t>
            </a:r>
            <a:endParaRPr lang="en-US" sz="1000" baseline="0">
              <a:solidFill>
                <a:schemeClr val="tx1"/>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Sheet1!$F$2:$F$72</c:f>
              <c:numCache>
                <c:formatCode>General</c:formatCode>
                <c:ptCount val="16"/>
              </c:numCache>
            </c:numRef>
          </c:val>
          <c:extLst>
            <c:ext xmlns:c16="http://schemas.microsoft.com/office/drawing/2014/chart" uri="{C3380CC4-5D6E-409C-BE32-E72D297353CC}">
              <c16:uniqueId val="{00000000-5BA3-4620-9945-C782ED9F9D73}"/>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Sheet1!$C$2:$C$76</c:f>
              <c:numCache>
                <c:formatCode>0.0</c:formatCode>
                <c:ptCount val="20"/>
                <c:pt idx="0">
                  <c:v>2540.5774855170202</c:v>
                </c:pt>
                <c:pt idx="1">
                  <c:v>2541.02599025066</c:v>
                </c:pt>
                <c:pt idx="2">
                  <c:v>2640.7820000000002</c:v>
                </c:pt>
                <c:pt idx="3">
                  <c:v>2675.0673828122303</c:v>
                </c:pt>
                <c:pt idx="4">
                  <c:v>2793.6608505633803</c:v>
                </c:pt>
                <c:pt idx="5">
                  <c:v>2836.3239767365799</c:v>
                </c:pt>
                <c:pt idx="6">
                  <c:v>2969.7320835893697</c:v>
                </c:pt>
                <c:pt idx="7">
                  <c:v>3144.9699810905099</c:v>
                </c:pt>
                <c:pt idx="8">
                  <c:v>3157.9293703593098</c:v>
                </c:pt>
                <c:pt idx="9">
                  <c:v>3127.58012159178</c:v>
                </c:pt>
                <c:pt idx="10">
                  <c:v>3359.6420501932998</c:v>
                </c:pt>
                <c:pt idx="11">
                  <c:v>3694.09499741116</c:v>
                </c:pt>
                <c:pt idx="12">
                  <c:v>3815.1625054040496</c:v>
                </c:pt>
                <c:pt idx="13">
                  <c:v>3876.1891963166695</c:v>
                </c:pt>
                <c:pt idx="14">
                  <c:v>4094.7344285735303</c:v>
                </c:pt>
                <c:pt idx="15">
                  <c:v>4320.2793153550701</c:v>
                </c:pt>
                <c:pt idx="16">
                  <c:v>4271.2043916183702</c:v>
                </c:pt>
                <c:pt idx="17">
                  <c:v>4420.1968430000006</c:v>
                </c:pt>
                <c:pt idx="18">
                  <c:v>4598.2749547844905</c:v>
                </c:pt>
                <c:pt idx="19">
                  <c:v>4970.471082</c:v>
                </c:pt>
              </c:numCache>
            </c:numRef>
          </c:val>
          <c:extLst>
            <c:ext xmlns:c16="http://schemas.microsoft.com/office/drawing/2014/chart" uri="{C3380CC4-5D6E-409C-BE32-E72D297353CC}">
              <c16:uniqueId val="{00000001-5BA3-4620-9945-C782ED9F9D73}"/>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Sheet1!$D$2:$D$76</c:f>
              <c:numCache>
                <c:formatCode>0.0</c:formatCode>
                <c:ptCount val="20"/>
                <c:pt idx="0">
                  <c:v>988.57440186903023</c:v>
                </c:pt>
                <c:pt idx="1">
                  <c:v>915.01734963612</c:v>
                </c:pt>
                <c:pt idx="2">
                  <c:v>929.87400000000002</c:v>
                </c:pt>
                <c:pt idx="3">
                  <c:v>1033.95275626177</c:v>
                </c:pt>
                <c:pt idx="4">
                  <c:v>908.42658679641988</c:v>
                </c:pt>
                <c:pt idx="5">
                  <c:v>933.42867996081998</c:v>
                </c:pt>
                <c:pt idx="6">
                  <c:v>884.54700956330009</c:v>
                </c:pt>
                <c:pt idx="7">
                  <c:v>879.64579740889997</c:v>
                </c:pt>
                <c:pt idx="8">
                  <c:v>825.37567642600982</c:v>
                </c:pt>
                <c:pt idx="9">
                  <c:v>944.66289364885984</c:v>
                </c:pt>
                <c:pt idx="10">
                  <c:v>1121.91741065579</c:v>
                </c:pt>
                <c:pt idx="11">
                  <c:v>1428.48444855512</c:v>
                </c:pt>
                <c:pt idx="12">
                  <c:v>1276.6676620578501</c:v>
                </c:pt>
                <c:pt idx="13">
                  <c:v>1307.3610793673802</c:v>
                </c:pt>
                <c:pt idx="14">
                  <c:v>1286.03932946751</c:v>
                </c:pt>
                <c:pt idx="15">
                  <c:v>1356.88661356395</c:v>
                </c:pt>
                <c:pt idx="16">
                  <c:v>1436.6219000351498</c:v>
                </c:pt>
                <c:pt idx="17">
                  <c:v>1378.2836000000002</c:v>
                </c:pt>
                <c:pt idx="18">
                  <c:v>1361.9181585231499</c:v>
                </c:pt>
                <c:pt idx="19">
                  <c:v>1493.487216</c:v>
                </c:pt>
              </c:numCache>
            </c:numRef>
          </c:val>
          <c:extLst>
            <c:ext xmlns:c16="http://schemas.microsoft.com/office/drawing/2014/chart" uri="{C3380CC4-5D6E-409C-BE32-E72D297353CC}">
              <c16:uniqueId val="{00000002-5BA3-4620-9945-C782ED9F9D73}"/>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Sheet1!$E$2:$E$76</c:f>
              <c:numCache>
                <c:formatCode>0.0</c:formatCode>
                <c:ptCount val="20"/>
                <c:pt idx="0">
                  <c:v>56.983245785623971</c:v>
                </c:pt>
                <c:pt idx="1">
                  <c:v>54.046410207100045</c:v>
                </c:pt>
                <c:pt idx="2">
                  <c:v>53.378649147693693</c:v>
                </c:pt>
                <c:pt idx="3">
                  <c:v>54.464545081502891</c:v>
                </c:pt>
                <c:pt idx="4">
                  <c:v>53.22193901071163</c:v>
                </c:pt>
                <c:pt idx="5">
                  <c:v>52.148366016875549</c:v>
                </c:pt>
                <c:pt idx="6">
                  <c:v>51.044929965929676</c:v>
                </c:pt>
                <c:pt idx="7">
                  <c:v>50.002711393128706</c:v>
                </c:pt>
                <c:pt idx="8">
                  <c:v>50.387948204205976</c:v>
                </c:pt>
                <c:pt idx="9">
                  <c:v>50.383284880867492</c:v>
                </c:pt>
                <c:pt idx="10">
                  <c:v>53.173295648147914</c:v>
                </c:pt>
                <c:pt idx="11">
                  <c:v>55.144855057658283</c:v>
                </c:pt>
                <c:pt idx="12">
                  <c:v>53.570558762946419</c:v>
                </c:pt>
                <c:pt idx="13">
                  <c:v>51.683860715465279</c:v>
                </c:pt>
                <c:pt idx="14">
                  <c:v>51.092059603808224</c:v>
                </c:pt>
                <c:pt idx="15">
                  <c:v>50.503680746709556</c:v>
                </c:pt>
                <c:pt idx="16">
                  <c:v>50.649702322225679</c:v>
                </c:pt>
                <c:pt idx="17">
                  <c:v>49.819260707990281</c:v>
                </c:pt>
                <c:pt idx="18">
                  <c:v>48.380065777790406</c:v>
                </c:pt>
                <c:pt idx="19">
                  <c:v>46.633565828119139</c:v>
                </c:pt>
              </c:numCache>
            </c:numRef>
          </c:val>
          <c:smooth val="0"/>
          <c:extLst>
            <c:ext xmlns:c16="http://schemas.microsoft.com/office/drawing/2014/chart" uri="{C3380CC4-5D6E-409C-BE32-E72D297353CC}">
              <c16:uniqueId val="{00000003-5BA3-4620-9945-C782ED9F9D73}"/>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60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82798344485842745"/>
          <c:w val="0.98709106816193426"/>
          <c:h val="0.1720165551415727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Sheet1!$B$2:$B$7</c:f>
            </c:numRef>
          </c:val>
          <c:extLst>
            <c:ext xmlns:c16="http://schemas.microsoft.com/office/drawing/2014/chart" uri="{C3380CC4-5D6E-409C-BE32-E72D297353CC}">
              <c16:uniqueId val="{00000000-C00B-4B40-A6E0-9160A49121B1}"/>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Sheet1!$C$2:$C$10</c:f>
              <c:numCache>
                <c:formatCode>0.0</c:formatCode>
                <c:ptCount val="5"/>
                <c:pt idx="0">
                  <c:v>388.28811999999999</c:v>
                </c:pt>
                <c:pt idx="1">
                  <c:v>394.31375400000002</c:v>
                </c:pt>
                <c:pt idx="2">
                  <c:v>435.92769399999997</c:v>
                </c:pt>
                <c:pt idx="3">
                  <c:v>619.84177499999998</c:v>
                </c:pt>
                <c:pt idx="4">
                  <c:v>656.33290999999997</c:v>
                </c:pt>
              </c:numCache>
            </c:numRef>
          </c:val>
          <c:extLst>
            <c:ext xmlns:c16="http://schemas.microsoft.com/office/drawing/2014/chart" uri="{C3380CC4-5D6E-409C-BE32-E72D297353CC}">
              <c16:uniqueId val="{00000001-C00B-4B40-A6E0-9160A49121B1}"/>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Sheet1!$D$2:$D$10</c:f>
              <c:numCache>
                <c:formatCode>0.0</c:formatCode>
                <c:ptCount val="5"/>
                <c:pt idx="0">
                  <c:v>781.72255000000007</c:v>
                </c:pt>
                <c:pt idx="1">
                  <c:v>751.11215400000003</c:v>
                </c:pt>
                <c:pt idx="2">
                  <c:v>882.73538799999994</c:v>
                </c:pt>
                <c:pt idx="3">
                  <c:v>1302.8866459999999</c:v>
                </c:pt>
                <c:pt idx="4">
                  <c:v>1145.4772760000001</c:v>
                </c:pt>
              </c:numCache>
            </c:numRef>
          </c:val>
          <c:extLst>
            <c:ext xmlns:c16="http://schemas.microsoft.com/office/drawing/2014/chart" uri="{C3380CC4-5D6E-409C-BE32-E72D297353CC}">
              <c16:uniqueId val="{00000002-C00B-4B40-A6E0-9160A49121B1}"/>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numRef>
              <c:f>Sheet1!$A$2:$A$10</c:f>
              <c:numCache>
                <c:formatCode>General</c:formatCode>
                <c:ptCount val="5"/>
                <c:pt idx="0">
                  <c:v>2020</c:v>
                </c:pt>
                <c:pt idx="1">
                  <c:v>2021</c:v>
                </c:pt>
                <c:pt idx="2">
                  <c:v>2022</c:v>
                </c:pt>
                <c:pt idx="3">
                  <c:v>2023</c:v>
                </c:pt>
                <c:pt idx="4">
                  <c:v>2024</c:v>
                </c:pt>
              </c:numCache>
            </c:numRef>
          </c:cat>
          <c:val>
            <c:numRef>
              <c:f>Sheet1!$E$2:$E$10</c:f>
              <c:numCache>
                <c:formatCode>0.0</c:formatCode>
                <c:ptCount val="5"/>
                <c:pt idx="0">
                  <c:v>2.0132538435633829</c:v>
                </c:pt>
                <c:pt idx="1">
                  <c:v>1.9048591290072017</c:v>
                </c:pt>
                <c:pt idx="2">
                  <c:v>2.0249582675057116</c:v>
                </c:pt>
                <c:pt idx="3">
                  <c:v>2.1019664994344724</c:v>
                </c:pt>
                <c:pt idx="4">
                  <c:v>1.7452686868924494</c:v>
                </c:pt>
              </c:numCache>
            </c:numRef>
          </c:val>
          <c:smooth val="0"/>
          <c:extLst>
            <c:ext xmlns:c16="http://schemas.microsoft.com/office/drawing/2014/chart" uri="{C3380CC4-5D6E-409C-BE32-E72D297353CC}">
              <c16:uniqueId val="{00000003-C00B-4B40-A6E0-9160A49121B1}"/>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Sheet1!$F$2:$F$37</c:f>
            </c:numRef>
          </c:val>
          <c:extLst>
            <c:ext xmlns:c16="http://schemas.microsoft.com/office/drawing/2014/chart" uri="{C3380CC4-5D6E-409C-BE32-E72D297353CC}">
              <c16:uniqueId val="{00000000-915E-4589-BE60-3D9A5087765D}"/>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Sheet1!$C$2:$C$37</c:f>
              <c:numCache>
                <c:formatCode>0.0</c:formatCode>
                <c:ptCount val="20"/>
                <c:pt idx="0">
                  <c:v>5.5882862733333338</c:v>
                </c:pt>
                <c:pt idx="1">
                  <c:v>5.7439622626262627</c:v>
                </c:pt>
                <c:pt idx="2">
                  <c:v>5.6253015530933972</c:v>
                </c:pt>
                <c:pt idx="3">
                  <c:v>5.9185325342230302</c:v>
                </c:pt>
                <c:pt idx="4">
                  <c:v>6.854926799557032</c:v>
                </c:pt>
                <c:pt idx="5">
                  <c:v>7.1024616710317856</c:v>
                </c:pt>
                <c:pt idx="6">
                  <c:v>8.1943352976190482</c:v>
                </c:pt>
                <c:pt idx="7">
                  <c:v>8.8495017574280173</c:v>
                </c:pt>
                <c:pt idx="8">
                  <c:v>9.3270733333333329</c:v>
                </c:pt>
                <c:pt idx="9">
                  <c:v>10.475233333333334</c:v>
                </c:pt>
                <c:pt idx="10">
                  <c:v>10.657266666666667</c:v>
                </c:pt>
                <c:pt idx="11">
                  <c:v>11.512319015843817</c:v>
                </c:pt>
                <c:pt idx="12">
                  <c:v>11.5479466989476</c:v>
                </c:pt>
                <c:pt idx="13">
                  <c:v>11.433027414054733</c:v>
                </c:pt>
                <c:pt idx="14">
                  <c:v>10.608063631255433</c:v>
                </c:pt>
                <c:pt idx="15">
                  <c:v>10.551300357902667</c:v>
                </c:pt>
                <c:pt idx="16">
                  <c:v>10.054928727912321</c:v>
                </c:pt>
                <c:pt idx="17">
                  <c:v>9.2783893392325592</c:v>
                </c:pt>
                <c:pt idx="18">
                  <c:v>8.9352686709551588</c:v>
                </c:pt>
                <c:pt idx="19">
                  <c:v>8.810314387740922</c:v>
                </c:pt>
              </c:numCache>
            </c:numRef>
          </c:val>
          <c:smooth val="0"/>
          <c:extLst>
            <c:ext xmlns:c16="http://schemas.microsoft.com/office/drawing/2014/chart" uri="{C3380CC4-5D6E-409C-BE32-E72D297353CC}">
              <c16:uniqueId val="{00000001-915E-4589-BE60-3D9A5087765D}"/>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Sheet1!$D$2:$D$37</c:f>
              <c:numCache>
                <c:formatCode>0.0</c:formatCode>
                <c:ptCount val="20"/>
                <c:pt idx="0">
                  <c:v>6.4605499999999996</c:v>
                </c:pt>
                <c:pt idx="1">
                  <c:v>6.8927070247933884</c:v>
                </c:pt>
                <c:pt idx="2">
                  <c:v>6.6683294666666661</c:v>
                </c:pt>
                <c:pt idx="3">
                  <c:v>7.3491743822447475</c:v>
                </c:pt>
                <c:pt idx="4">
                  <c:v>8.0319500000000001</c:v>
                </c:pt>
                <c:pt idx="5">
                  <c:v>8.543099999999999</c:v>
                </c:pt>
                <c:pt idx="6">
                  <c:v>9.4789999999999992</c:v>
                </c:pt>
                <c:pt idx="7">
                  <c:v>9.7094333333333314</c:v>
                </c:pt>
                <c:pt idx="8">
                  <c:v>10.17895</c:v>
                </c:pt>
                <c:pt idx="9">
                  <c:v>11.088666666666667</c:v>
                </c:pt>
                <c:pt idx="10">
                  <c:v>11.286049999999999</c:v>
                </c:pt>
                <c:pt idx="11">
                  <c:v>11.808</c:v>
                </c:pt>
                <c:pt idx="12">
                  <c:v>11.9323200507901</c:v>
                </c:pt>
                <c:pt idx="13">
                  <c:v>11.442941876642301</c:v>
                </c:pt>
                <c:pt idx="14">
                  <c:v>10.649850000000001</c:v>
                </c:pt>
                <c:pt idx="15">
                  <c:v>10.843333333333334</c:v>
                </c:pt>
                <c:pt idx="16">
                  <c:v>10.05335</c:v>
                </c:pt>
                <c:pt idx="17">
                  <c:v>9.8924745850916072</c:v>
                </c:pt>
                <c:pt idx="18">
                  <c:v>9.9087500000000013</c:v>
                </c:pt>
                <c:pt idx="19">
                  <c:v>9.8606216891299212</c:v>
                </c:pt>
              </c:numCache>
            </c:numRef>
          </c:val>
          <c:smooth val="0"/>
          <c:extLst>
            <c:ext xmlns:c16="http://schemas.microsoft.com/office/drawing/2014/chart" uri="{C3380CC4-5D6E-409C-BE32-E72D297353CC}">
              <c16:uniqueId val="{00000002-915E-4589-BE60-3D9A5087765D}"/>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Sheet1!$E$2:$E$37</c:f>
              <c:numCache>
                <c:formatCode>0.0</c:formatCode>
                <c:ptCount val="20"/>
                <c:pt idx="0">
                  <c:v>8.1011000000000006</c:v>
                </c:pt>
                <c:pt idx="1">
                  <c:v>9.3685051678535718</c:v>
                </c:pt>
                <c:pt idx="2">
                  <c:v>7.9247801446342399</c:v>
                </c:pt>
                <c:pt idx="3">
                  <c:v>9.0678438931297709</c:v>
                </c:pt>
                <c:pt idx="4">
                  <c:v>9.681431525610396</c:v>
                </c:pt>
                <c:pt idx="5">
                  <c:v>9.8704542865300873</c:v>
                </c:pt>
                <c:pt idx="6">
                  <c:v>9.9131</c:v>
                </c:pt>
                <c:pt idx="7">
                  <c:v>10.289874523669795</c:v>
                </c:pt>
                <c:pt idx="8">
                  <c:v>10.6031</c:v>
                </c:pt>
                <c:pt idx="9">
                  <c:v>11.6937</c:v>
                </c:pt>
                <c:pt idx="10">
                  <c:v>11.8903</c:v>
                </c:pt>
                <c:pt idx="12">
                  <c:v>11.9801</c:v>
                </c:pt>
                <c:pt idx="13">
                  <c:v>11.785450025631398</c:v>
                </c:pt>
                <c:pt idx="14">
                  <c:v>11.116300000000001</c:v>
                </c:pt>
                <c:pt idx="15">
                  <c:v>10.227523897900451</c:v>
                </c:pt>
                <c:pt idx="16">
                  <c:v>10.952400000000001</c:v>
                </c:pt>
                <c:pt idx="17">
                  <c:v>9.8869461294130492</c:v>
                </c:pt>
                <c:pt idx="18">
                  <c:v>9.9582999999999995</c:v>
                </c:pt>
                <c:pt idx="19">
                  <c:v>9.9590764933582605</c:v>
                </c:pt>
              </c:numCache>
            </c:numRef>
          </c:val>
          <c:smooth val="0"/>
          <c:extLst>
            <c:ext xmlns:c16="http://schemas.microsoft.com/office/drawing/2014/chart" uri="{C3380CC4-5D6E-409C-BE32-E72D297353CC}">
              <c16:uniqueId val="{00000003-915E-4589-BE60-3D9A5087765D}"/>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Sheet1!$C$16:$C$67</c:f>
            </c:numRef>
          </c:val>
          <c:smooth val="0"/>
          <c:extLst>
            <c:ext xmlns:c16="http://schemas.microsoft.com/office/drawing/2014/chart" uri="{C3380CC4-5D6E-409C-BE32-E72D297353CC}">
              <c16:uniqueId val="{00000000-FFC2-4D1D-80E7-9E361591468B}"/>
            </c:ext>
          </c:extLst>
        </c:ser>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Sheet1!$D$16:$D$73</c:f>
              <c:numCache>
                <c:formatCode>0.0</c:formatCode>
                <c:ptCount val="20"/>
                <c:pt idx="0">
                  <c:v>5.1645909090909088</c:v>
                </c:pt>
                <c:pt idx="1">
                  <c:v>3.9795454545454545</c:v>
                </c:pt>
                <c:pt idx="2">
                  <c:v>3.6502727272727271</c:v>
                </c:pt>
                <c:pt idx="3">
                  <c:v>3.5371818181818182</c:v>
                </c:pt>
                <c:pt idx="4">
                  <c:v>4.046347826086957</c:v>
                </c:pt>
                <c:pt idx="5">
                  <c:v>3.4342272727272727</c:v>
                </c:pt>
                <c:pt idx="6">
                  <c:v>2.6846818181818177</c:v>
                </c:pt>
                <c:pt idx="7">
                  <c:v>3.1654285714285715</c:v>
                </c:pt>
                <c:pt idx="8">
                  <c:v>7.4899130434782624</c:v>
                </c:pt>
                <c:pt idx="9">
                  <c:v>7.4219500000000007</c:v>
                </c:pt>
                <c:pt idx="10">
                  <c:v>7.4047000000000001</c:v>
                </c:pt>
                <c:pt idx="11">
                  <c:v>6.4584761904761896</c:v>
                </c:pt>
                <c:pt idx="12">
                  <c:v>6.3918695652173918</c:v>
                </c:pt>
                <c:pt idx="13">
                  <c:v>6.3964999999999996</c:v>
                </c:pt>
                <c:pt idx="14">
                  <c:v>6.4304615384615404</c:v>
                </c:pt>
                <c:pt idx="15">
                  <c:v>6.0984603174603169</c:v>
                </c:pt>
                <c:pt idx="16">
                  <c:v>5.9378360655737712</c:v>
                </c:pt>
                <c:pt idx="17">
                  <c:v>6.0319841269841268</c:v>
                </c:pt>
                <c:pt idx="18">
                  <c:v>5.7510000000000003</c:v>
                </c:pt>
                <c:pt idx="19">
                  <c:v>5.3945000000000025</c:v>
                </c:pt>
              </c:numCache>
            </c:numRef>
          </c:val>
          <c:smooth val="0"/>
          <c:extLst>
            <c:ext xmlns:c16="http://schemas.microsoft.com/office/drawing/2014/chart" uri="{C3380CC4-5D6E-409C-BE32-E72D297353CC}">
              <c16:uniqueId val="{00000001-FFC2-4D1D-80E7-9E361591468B}"/>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Sheet1!$E$16:$E$73</c:f>
              <c:numCache>
                <c:formatCode>0.0</c:formatCode>
                <c:ptCount val="20"/>
                <c:pt idx="0">
                  <c:v>4.9182272727272718</c:v>
                </c:pt>
                <c:pt idx="1">
                  <c:v>4.1830000000000007</c:v>
                </c:pt>
                <c:pt idx="2">
                  <c:v>3.7706363636363633</c:v>
                </c:pt>
                <c:pt idx="3">
                  <c:v>3.9598636363636364</c:v>
                </c:pt>
                <c:pt idx="4">
                  <c:v>4.4904782608695655</c:v>
                </c:pt>
                <c:pt idx="5">
                  <c:v>4.2633181818181818</c:v>
                </c:pt>
                <c:pt idx="6">
                  <c:v>4.0162272727272734</c:v>
                </c:pt>
                <c:pt idx="7">
                  <c:v>4.3866190476190461</c:v>
                </c:pt>
                <c:pt idx="8">
                  <c:v>6.8682173913043476</c:v>
                </c:pt>
                <c:pt idx="9">
                  <c:v>8.2034500000000001</c:v>
                </c:pt>
                <c:pt idx="10">
                  <c:v>8.7533500000000011</c:v>
                </c:pt>
                <c:pt idx="11">
                  <c:v>7.0670952380952361</c:v>
                </c:pt>
                <c:pt idx="12">
                  <c:v>7.5711739130434781</c:v>
                </c:pt>
                <c:pt idx="13">
                  <c:v>7.398681818181819</c:v>
                </c:pt>
                <c:pt idx="14">
                  <c:v>7.4433538461538475</c:v>
                </c:pt>
                <c:pt idx="15">
                  <c:v>7.6833333333333345</c:v>
                </c:pt>
                <c:pt idx="16">
                  <c:v>6.9522786885245909</c:v>
                </c:pt>
                <c:pt idx="17">
                  <c:v>7.0754920634920646</c:v>
                </c:pt>
                <c:pt idx="18">
                  <c:v>6.7260937499999986</c:v>
                </c:pt>
                <c:pt idx="19">
                  <c:v>6.7321666666666662</c:v>
                </c:pt>
              </c:numCache>
            </c:numRef>
          </c:val>
          <c:smooth val="0"/>
          <c:extLst>
            <c:ext xmlns:c16="http://schemas.microsoft.com/office/drawing/2014/chart" uri="{C3380CC4-5D6E-409C-BE32-E72D297353CC}">
              <c16:uniqueId val="{00000002-FFC2-4D1D-80E7-9E361591468B}"/>
            </c:ext>
          </c:extLst>
        </c:ser>
        <c:ser>
          <c:idx val="3"/>
          <c:order val="3"/>
          <c:tx>
            <c:strRef>
              <c:f>Sheet1!$F$1</c:f>
              <c:strCache>
                <c:ptCount val="1"/>
                <c:pt idx="0">
                  <c:v>2031թ. մարվող պարտատոմսեր</c:v>
                </c:pt>
              </c:strCache>
            </c:strRef>
          </c:tx>
          <c:spPr>
            <a:ln w="28575" cap="rnd">
              <a:solidFill>
                <a:srgbClr val="9BBB59">
                  <a:lumMod val="75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Sheet1!$F$16:$F$73</c:f>
              <c:numCache>
                <c:formatCode>General</c:formatCode>
                <c:ptCount val="20"/>
                <c:pt idx="4" formatCode="0.0">
                  <c:v>4.6077826086956497</c:v>
                </c:pt>
                <c:pt idx="5" formatCode="0.0">
                  <c:v>4.4961363636363636</c:v>
                </c:pt>
                <c:pt idx="6" formatCode="0.0">
                  <c:v>4.1649090909090898</c:v>
                </c:pt>
                <c:pt idx="7" formatCode="0.0">
                  <c:v>4.5901428571428564</c:v>
                </c:pt>
                <c:pt idx="8" formatCode="0.0">
                  <c:v>7.189913043478259</c:v>
                </c:pt>
                <c:pt idx="9" formatCode="0.0">
                  <c:v>8.3145000000000007</c:v>
                </c:pt>
                <c:pt idx="10" formatCode="0.0">
                  <c:v>8.5759000000000007</c:v>
                </c:pt>
                <c:pt idx="11" formatCode="0.0">
                  <c:v>6.8412857142857133</c:v>
                </c:pt>
                <c:pt idx="12" formatCode="0.0">
                  <c:v>7.607956521739129</c:v>
                </c:pt>
                <c:pt idx="13" formatCode="0.0">
                  <c:v>7.484909090909091</c:v>
                </c:pt>
                <c:pt idx="14" formatCode="0.0">
                  <c:v>7.5491846153846156</c:v>
                </c:pt>
                <c:pt idx="15" formatCode="0.0">
                  <c:v>8.0171904761904749</c:v>
                </c:pt>
                <c:pt idx="16" formatCode="0.0">
                  <c:v>7.1284262295081948</c:v>
                </c:pt>
                <c:pt idx="17" formatCode="0.0">
                  <c:v>7.2118412698412699</c:v>
                </c:pt>
                <c:pt idx="18" formatCode="0.0">
                  <c:v>6.8114687500000013</c:v>
                </c:pt>
                <c:pt idx="19" formatCode="0.0">
                  <c:v>6.8159848484848506</c:v>
                </c:pt>
              </c:numCache>
            </c:numRef>
          </c:val>
          <c:smooth val="0"/>
          <c:extLst>
            <c:ext xmlns:c16="http://schemas.microsoft.com/office/drawing/2014/chart" uri="{C3380CC4-5D6E-409C-BE32-E72D297353CC}">
              <c16:uniqueId val="{00000003-FFC2-4D1D-80E7-9E361591468B}"/>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189376640419947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Sheet1!$C$2:$C$68</c:f>
            </c:numRef>
          </c:val>
          <c:smooth val="0"/>
          <c:extLst>
            <c:ext xmlns:c16="http://schemas.microsoft.com/office/drawing/2014/chart" uri="{C3380CC4-5D6E-409C-BE32-E72D297353CC}">
              <c16:uniqueId val="{00000000-EECE-4AC5-832A-BFF5AA96AC31}"/>
            </c:ext>
          </c:extLst>
        </c:ser>
        <c:ser>
          <c:idx val="1"/>
          <c:order val="1"/>
          <c:tx>
            <c:strRef>
              <c:f>Sheet1!$D$1</c:f>
              <c:strCache>
                <c:ptCount val="1"/>
                <c:pt idx="0">
                  <c:v>2025թ. մարվող պարտատոմսեր</c:v>
                </c:pt>
              </c:strCache>
            </c:strRef>
          </c:tx>
          <c:spPr>
            <a:ln w="28575" cap="rnd">
              <a:solidFill>
                <a:srgbClr val="FAC090"/>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Sheet1!$D$16:$D$73</c:f>
              <c:numCache>
                <c:formatCode>0.0</c:formatCode>
                <c:ptCount val="20"/>
                <c:pt idx="0">
                  <c:v>455.08540909090902</c:v>
                </c:pt>
                <c:pt idx="1">
                  <c:v>363.78313636363634</c:v>
                </c:pt>
                <c:pt idx="2">
                  <c:v>341.7038695652173</c:v>
                </c:pt>
                <c:pt idx="3">
                  <c:v>309.91835000000003</c:v>
                </c:pt>
                <c:pt idx="4">
                  <c:v>322.77860869565217</c:v>
                </c:pt>
                <c:pt idx="5">
                  <c:v>260.00977272727283</c:v>
                </c:pt>
                <c:pt idx="6">
                  <c:v>183.10550000000001</c:v>
                </c:pt>
                <c:pt idx="7">
                  <c:v>194.42571428571429</c:v>
                </c:pt>
                <c:pt idx="8">
                  <c:v>540.08386956521736</c:v>
                </c:pt>
                <c:pt idx="9">
                  <c:v>422.71915000000001</c:v>
                </c:pt>
                <c:pt idx="10">
                  <c:v>358.6154761904761</c:v>
                </c:pt>
                <c:pt idx="11">
                  <c:v>239.95066666666671</c:v>
                </c:pt>
                <c:pt idx="12">
                  <c:v>196.41682258064506</c:v>
                </c:pt>
                <c:pt idx="13">
                  <c:v>202.66291935483878</c:v>
                </c:pt>
                <c:pt idx="14">
                  <c:v>144.29619047619053</c:v>
                </c:pt>
                <c:pt idx="15">
                  <c:v>114.3223548387097</c:v>
                </c:pt>
                <c:pt idx="16">
                  <c:v>144.468868852459</c:v>
                </c:pt>
                <c:pt idx="17">
                  <c:v>119.144873015873</c:v>
                </c:pt>
                <c:pt idx="18">
                  <c:v>170.00460937499997</c:v>
                </c:pt>
                <c:pt idx="19">
                  <c:v>125.15369354838707</c:v>
                </c:pt>
              </c:numCache>
            </c:numRef>
          </c:val>
          <c:smooth val="0"/>
          <c:extLst>
            <c:ext xmlns:c16="http://schemas.microsoft.com/office/drawing/2014/chart" uri="{C3380CC4-5D6E-409C-BE32-E72D297353CC}">
              <c16:uniqueId val="{00000001-EECE-4AC5-832A-BFF5AA96AC31}"/>
            </c:ext>
          </c:extLst>
        </c:ser>
        <c:ser>
          <c:idx val="2"/>
          <c:order val="2"/>
          <c:tx>
            <c:strRef>
              <c:f>Sheet1!$E$1</c:f>
              <c:strCache>
                <c:ptCount val="1"/>
                <c:pt idx="0">
                  <c:v>2029թ. մարվող պարտատոմսեր</c:v>
                </c:pt>
              </c:strCache>
            </c:strRef>
          </c:tx>
          <c:spPr>
            <a:ln w="28575" cap="rnd">
              <a:solidFill>
                <a:srgbClr val="376092"/>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Sheet1!$E$16:$E$73</c:f>
              <c:numCache>
                <c:formatCode>0.0</c:formatCode>
                <c:ptCount val="20"/>
                <c:pt idx="0">
                  <c:v>405.31604545454542</c:v>
                </c:pt>
                <c:pt idx="1">
                  <c:v>345.75059090909087</c:v>
                </c:pt>
                <c:pt idx="2">
                  <c:v>310.69999999999993</c:v>
                </c:pt>
                <c:pt idx="3">
                  <c:v>298.91015000000004</c:v>
                </c:pt>
                <c:pt idx="4">
                  <c:v>288.58165217391308</c:v>
                </c:pt>
                <c:pt idx="5">
                  <c:v>275.1784545454546</c:v>
                </c:pt>
                <c:pt idx="6">
                  <c:v>264.96990909090908</c:v>
                </c:pt>
                <c:pt idx="7">
                  <c:v>292.65804761904764</c:v>
                </c:pt>
                <c:pt idx="8">
                  <c:v>474.19495652173907</c:v>
                </c:pt>
                <c:pt idx="9">
                  <c:v>505.30729999999994</c:v>
                </c:pt>
                <c:pt idx="10">
                  <c:v>527.93804761904767</c:v>
                </c:pt>
                <c:pt idx="11">
                  <c:v>346.68850000000003</c:v>
                </c:pt>
                <c:pt idx="12">
                  <c:v>344.51777419354835</c:v>
                </c:pt>
                <c:pt idx="13">
                  <c:v>367.83704838709673</c:v>
                </c:pt>
                <c:pt idx="14">
                  <c:v>311.25285714285712</c:v>
                </c:pt>
                <c:pt idx="15">
                  <c:v>320.38603225806452</c:v>
                </c:pt>
                <c:pt idx="16">
                  <c:v>282.87555384615388</c:v>
                </c:pt>
                <c:pt idx="17">
                  <c:v>260.92153124999993</c:v>
                </c:pt>
                <c:pt idx="18">
                  <c:v>293.11669696969699</c:v>
                </c:pt>
                <c:pt idx="19">
                  <c:v>260.39537878787883</c:v>
                </c:pt>
              </c:numCache>
            </c:numRef>
          </c:val>
          <c:smooth val="0"/>
          <c:extLst>
            <c:ext xmlns:c16="http://schemas.microsoft.com/office/drawing/2014/chart" uri="{C3380CC4-5D6E-409C-BE32-E72D297353CC}">
              <c16:uniqueId val="{00000002-EECE-4AC5-832A-BFF5AA96AC31}"/>
            </c:ext>
          </c:extLst>
        </c:ser>
        <c:ser>
          <c:idx val="3"/>
          <c:order val="3"/>
          <c:tx>
            <c:strRef>
              <c:f>Sheet1!$F$1</c:f>
              <c:strCache>
                <c:ptCount val="1"/>
                <c:pt idx="0">
                  <c:v>2031թ. մարվող պարտատոմսեր</c:v>
                </c:pt>
              </c:strCache>
            </c:strRef>
          </c:tx>
          <c:spPr>
            <a:ln w="28575" cap="rnd">
              <a:solidFill>
                <a:srgbClr val="77933C"/>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Sheet1!$F$16:$F$73</c:f>
              <c:numCache>
                <c:formatCode>General</c:formatCode>
                <c:ptCount val="20"/>
                <c:pt idx="4" formatCode="0.0">
                  <c:v>293.64643478260865</c:v>
                </c:pt>
                <c:pt idx="5" formatCode="0.0">
                  <c:v>292.26331818181819</c:v>
                </c:pt>
                <c:pt idx="6" formatCode="0.0">
                  <c:v>274.45186363636361</c:v>
                </c:pt>
                <c:pt idx="7" formatCode="0.0">
                  <c:v>304.84927272727271</c:v>
                </c:pt>
                <c:pt idx="8" formatCode="0.0">
                  <c:v>494.65360869565217</c:v>
                </c:pt>
                <c:pt idx="9" formatCode="0.0">
                  <c:v>505.76620000000003</c:v>
                </c:pt>
                <c:pt idx="10" formatCode="0.0">
                  <c:v>496.96447619047615</c:v>
                </c:pt>
                <c:pt idx="11" formatCode="0.0">
                  <c:v>312.66779999999994</c:v>
                </c:pt>
                <c:pt idx="12" formatCode="0.0">
                  <c:v>364.13509677419353</c:v>
                </c:pt>
                <c:pt idx="13" formatCode="0.0">
                  <c:v>372.4433387096775</c:v>
                </c:pt>
                <c:pt idx="14" formatCode="0.0">
                  <c:v>326.68344444444443</c:v>
                </c:pt>
                <c:pt idx="15" formatCode="0.0">
                  <c:v>341.11614516129043</c:v>
                </c:pt>
                <c:pt idx="16" formatCode="0.0">
                  <c:v>297.32936923076926</c:v>
                </c:pt>
                <c:pt idx="17" formatCode="0.0">
                  <c:v>276.889515625</c:v>
                </c:pt>
                <c:pt idx="18" formatCode="0.0">
                  <c:v>286.80215151515142</c:v>
                </c:pt>
                <c:pt idx="19" formatCode="0.0">
                  <c:v>253.75645454545449</c:v>
                </c:pt>
              </c:numCache>
            </c:numRef>
          </c:val>
          <c:smooth val="0"/>
          <c:extLst>
            <c:ext xmlns:c16="http://schemas.microsoft.com/office/drawing/2014/chart" uri="{C3380CC4-5D6E-409C-BE32-E72D297353CC}">
              <c16:uniqueId val="{00000003-EECE-4AC5-832A-BFF5AA96AC31}"/>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1401606425702808"/>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r>
              <a:rPr lang="ru-RU" sz="1000" b="0" i="0" baseline="0" dirty="0">
                <a:effectLst/>
                <a:latin typeface="GHEA Grapalat" panose="02000506050000020003" pitchFamily="50" charset="0"/>
              </a:rPr>
              <a:t>, </a:t>
            </a:r>
            <a:r>
              <a:rPr lang="hy-AM" sz="1000" b="0" i="0" baseline="0" dirty="0">
                <a:effectLst/>
                <a:latin typeface="GHEA Grapalat" panose="02000506050000020003" pitchFamily="50" charset="0"/>
              </a:rPr>
              <a:t>ԱՄՆ դոլար</a:t>
            </a:r>
            <a:endParaRPr lang="en-US" sz="1000" dirty="0">
              <a:effectLst/>
              <a:latin typeface="GHEA Grapalat" panose="02000506050000020003" pitchFamily="50" charset="0"/>
            </a:endParaRPr>
          </a:p>
        </c:rich>
      </c:tx>
      <c:layout>
        <c:manualLayout>
          <c:xMode val="edge"/>
          <c:yMode val="edge"/>
          <c:x val="0.22310204081632654"/>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651095295780336"/>
          <c:y val="0.13848012850852659"/>
          <c:w val="0.75152937613567539"/>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50000"/>
                </a:scheme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Sheet1!$D$14:$D$85</c:f>
              <c:numCache>
                <c:formatCode>0.0</c:formatCode>
                <c:ptCount val="60"/>
                <c:pt idx="0">
                  <c:v>6031.21</c:v>
                </c:pt>
                <c:pt idx="1">
                  <c:v>5687.75</c:v>
                </c:pt>
                <c:pt idx="2">
                  <c:v>5182.63</c:v>
                </c:pt>
                <c:pt idx="3">
                  <c:v>5057.97</c:v>
                </c:pt>
                <c:pt idx="4">
                  <c:v>5239.83</c:v>
                </c:pt>
                <c:pt idx="5">
                  <c:v>5754.6</c:v>
                </c:pt>
                <c:pt idx="6">
                  <c:v>6372.46</c:v>
                </c:pt>
                <c:pt idx="7">
                  <c:v>6498.94</c:v>
                </c:pt>
                <c:pt idx="8">
                  <c:v>6704.9</c:v>
                </c:pt>
                <c:pt idx="9">
                  <c:v>6713.81</c:v>
                </c:pt>
                <c:pt idx="10">
                  <c:v>7068.91</c:v>
                </c:pt>
                <c:pt idx="11">
                  <c:v>7772.24</c:v>
                </c:pt>
                <c:pt idx="12" formatCode="0">
                  <c:v>7972.15</c:v>
                </c:pt>
                <c:pt idx="13" formatCode="0">
                  <c:v>8470.94</c:v>
                </c:pt>
                <c:pt idx="14" formatCode="0">
                  <c:v>8988.25</c:v>
                </c:pt>
                <c:pt idx="15" formatCode="0">
                  <c:v>9324.82</c:v>
                </c:pt>
                <c:pt idx="16" formatCode="0">
                  <c:v>10161.969999999999</c:v>
                </c:pt>
                <c:pt idx="17" formatCode="0">
                  <c:v>9631.5</c:v>
                </c:pt>
                <c:pt idx="18" formatCode="0">
                  <c:v>9450.82</c:v>
                </c:pt>
                <c:pt idx="19" formatCode="0">
                  <c:v>9370.14</c:v>
                </c:pt>
                <c:pt idx="20" formatCode="0">
                  <c:v>9324.7099999999991</c:v>
                </c:pt>
                <c:pt idx="21" formatCode="0">
                  <c:v>9829.2199999999993</c:v>
                </c:pt>
                <c:pt idx="22" formatCode="0">
                  <c:v>9728.9</c:v>
                </c:pt>
                <c:pt idx="23" formatCode="0">
                  <c:v>9551.18</c:v>
                </c:pt>
                <c:pt idx="24" formatCode="0">
                  <c:v>9782.34</c:v>
                </c:pt>
                <c:pt idx="25" formatCode="0">
                  <c:v>9943.17</c:v>
                </c:pt>
                <c:pt idx="26" formatCode="0">
                  <c:v>10230.89</c:v>
                </c:pt>
                <c:pt idx="27" formatCode="0">
                  <c:v>10161.379999999999</c:v>
                </c:pt>
                <c:pt idx="28" formatCode="0">
                  <c:v>9377.15</c:v>
                </c:pt>
                <c:pt idx="29" formatCode="0">
                  <c:v>9024.4599999999991</c:v>
                </c:pt>
                <c:pt idx="30" formatCode="0">
                  <c:v>7544.81</c:v>
                </c:pt>
                <c:pt idx="31" formatCode="0">
                  <c:v>7981.84</c:v>
                </c:pt>
                <c:pt idx="32" formatCode="0">
                  <c:v>7746.01</c:v>
                </c:pt>
                <c:pt idx="33" formatCode="0">
                  <c:v>7651.08</c:v>
                </c:pt>
                <c:pt idx="34" formatCode="0">
                  <c:v>8049.86</c:v>
                </c:pt>
                <c:pt idx="35" formatCode="0">
                  <c:v>8375.4</c:v>
                </c:pt>
                <c:pt idx="36" formatCode="0">
                  <c:v>9037.9500000000007</c:v>
                </c:pt>
                <c:pt idx="37" formatCode="0">
                  <c:v>8936.59</c:v>
                </c:pt>
                <c:pt idx="38" formatCode="0">
                  <c:v>8856.31</c:v>
                </c:pt>
                <c:pt idx="39" formatCode="0">
                  <c:v>8809.42</c:v>
                </c:pt>
                <c:pt idx="40" formatCode="0">
                  <c:v>8217.4699999999993</c:v>
                </c:pt>
                <c:pt idx="41" formatCode="0">
                  <c:v>8396.52</c:v>
                </c:pt>
                <c:pt idx="42" formatCode="0">
                  <c:v>8476.68</c:v>
                </c:pt>
                <c:pt idx="43" formatCode="0">
                  <c:v>8349.1299999999992</c:v>
                </c:pt>
                <c:pt idx="44" formatCode="0">
                  <c:v>8276.7099999999991</c:v>
                </c:pt>
                <c:pt idx="45" formatCode="0">
                  <c:v>7937.18</c:v>
                </c:pt>
                <c:pt idx="46" formatCode="0">
                  <c:v>8189.59</c:v>
                </c:pt>
                <c:pt idx="47" formatCode="0">
                  <c:v>8399.94</c:v>
                </c:pt>
                <c:pt idx="48" formatCode="0">
                  <c:v>8338.8799999999992</c:v>
                </c:pt>
                <c:pt idx="49" formatCode="0">
                  <c:v>8304.9500000000007</c:v>
                </c:pt>
                <c:pt idx="50" formatCode="0">
                  <c:v>8689.1299999999992</c:v>
                </c:pt>
                <c:pt idx="51" formatCode="0">
                  <c:v>9464.43</c:v>
                </c:pt>
                <c:pt idx="52" formatCode="0">
                  <c:v>10139.33</c:v>
                </c:pt>
                <c:pt idx="53" formatCode="0">
                  <c:v>9648.17</c:v>
                </c:pt>
                <c:pt idx="54" formatCode="0">
                  <c:v>9385.31</c:v>
                </c:pt>
                <c:pt idx="55" formatCode="0">
                  <c:v>8971.9599999999991</c:v>
                </c:pt>
                <c:pt idx="56" formatCode="0">
                  <c:v>9237.48</c:v>
                </c:pt>
                <c:pt idx="57" formatCode="0">
                  <c:v>9533.99</c:v>
                </c:pt>
                <c:pt idx="58" formatCode="0">
                  <c:v>9075.73</c:v>
                </c:pt>
                <c:pt idx="59" formatCode="0">
                  <c:v>8916.32</c:v>
                </c:pt>
              </c:numCache>
            </c:numRef>
          </c:val>
          <c:smooth val="0"/>
          <c:extLst>
            <c:ext xmlns:c16="http://schemas.microsoft.com/office/drawing/2014/chart" uri="{C3380CC4-5D6E-409C-BE32-E72D297353CC}">
              <c16:uniqueId val="{00000000-090C-438C-B5D6-7944EF40A086}"/>
            </c:ext>
          </c:extLst>
        </c:ser>
        <c:dLbls>
          <c:showLegendKey val="0"/>
          <c:showVal val="0"/>
          <c:showCatName val="0"/>
          <c:showSerName val="0"/>
          <c:showPercent val="0"/>
          <c:showBubbleSize val="0"/>
        </c:dLbls>
        <c:marker val="1"/>
        <c:smooth val="0"/>
        <c:axId val="1913059888"/>
        <c:axId val="191305771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2">
                  <a:lumMod val="60000"/>
                  <a:lumOff val="40000"/>
                </a:scheme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Sheet1!$C$14:$C$85</c:f>
              <c:numCache>
                <c:formatCode>0.0</c:formatCode>
                <c:ptCount val="60"/>
                <c:pt idx="0">
                  <c:v>63.6</c:v>
                </c:pt>
                <c:pt idx="1">
                  <c:v>55</c:v>
                </c:pt>
                <c:pt idx="2">
                  <c:v>32.979999999999997</c:v>
                </c:pt>
                <c:pt idx="3">
                  <c:v>23.34</c:v>
                </c:pt>
                <c:pt idx="4">
                  <c:v>31.02</c:v>
                </c:pt>
                <c:pt idx="5">
                  <c:v>39.93</c:v>
                </c:pt>
                <c:pt idx="6">
                  <c:v>42.81</c:v>
                </c:pt>
                <c:pt idx="7">
                  <c:v>44.26</c:v>
                </c:pt>
                <c:pt idx="8">
                  <c:v>41.09</c:v>
                </c:pt>
                <c:pt idx="9">
                  <c:v>40.47</c:v>
                </c:pt>
                <c:pt idx="10">
                  <c:v>43.23</c:v>
                </c:pt>
                <c:pt idx="11">
                  <c:v>49.87</c:v>
                </c:pt>
                <c:pt idx="12" formatCode="0">
                  <c:v>54.55</c:v>
                </c:pt>
                <c:pt idx="13" formatCode="0">
                  <c:v>61.96</c:v>
                </c:pt>
                <c:pt idx="14" formatCode="0">
                  <c:v>65.19</c:v>
                </c:pt>
                <c:pt idx="15" formatCode="0">
                  <c:v>64.77</c:v>
                </c:pt>
                <c:pt idx="16" formatCode="0">
                  <c:v>68.040000000000006</c:v>
                </c:pt>
                <c:pt idx="17" formatCode="0">
                  <c:v>73.069999999999993</c:v>
                </c:pt>
                <c:pt idx="18" formatCode="0">
                  <c:v>74.39</c:v>
                </c:pt>
                <c:pt idx="19" formatCode="0">
                  <c:v>70.02</c:v>
                </c:pt>
                <c:pt idx="20" formatCode="0">
                  <c:v>74.599999999999994</c:v>
                </c:pt>
                <c:pt idx="21" formatCode="0">
                  <c:v>83.65</c:v>
                </c:pt>
                <c:pt idx="22" formatCode="0">
                  <c:v>80.77</c:v>
                </c:pt>
                <c:pt idx="23" formatCode="0">
                  <c:v>74.31</c:v>
                </c:pt>
                <c:pt idx="24" formatCode="0">
                  <c:v>85.53</c:v>
                </c:pt>
                <c:pt idx="25" formatCode="0">
                  <c:v>95.76</c:v>
                </c:pt>
                <c:pt idx="26" formatCode="0">
                  <c:v>115.59</c:v>
                </c:pt>
                <c:pt idx="27" formatCode="0">
                  <c:v>105.78</c:v>
                </c:pt>
                <c:pt idx="28" formatCode="0">
                  <c:v>112.37</c:v>
                </c:pt>
                <c:pt idx="29" formatCode="0">
                  <c:v>120.08</c:v>
                </c:pt>
                <c:pt idx="30" formatCode="0">
                  <c:v>108.92</c:v>
                </c:pt>
                <c:pt idx="31" formatCode="0">
                  <c:v>98.6</c:v>
                </c:pt>
                <c:pt idx="32" formatCode="0">
                  <c:v>90.16</c:v>
                </c:pt>
                <c:pt idx="33" formatCode="0">
                  <c:v>93.13</c:v>
                </c:pt>
                <c:pt idx="34" formatCode="0">
                  <c:v>91.07</c:v>
                </c:pt>
                <c:pt idx="35" formatCode="0">
                  <c:v>80.900000000000006</c:v>
                </c:pt>
                <c:pt idx="36" formatCode="0">
                  <c:v>83.09</c:v>
                </c:pt>
                <c:pt idx="37" formatCode="0">
                  <c:v>82.71</c:v>
                </c:pt>
                <c:pt idx="38" formatCode="0">
                  <c:v>78.53</c:v>
                </c:pt>
                <c:pt idx="39" formatCode="0">
                  <c:v>84.11</c:v>
                </c:pt>
                <c:pt idx="40" formatCode="0">
                  <c:v>75.7</c:v>
                </c:pt>
                <c:pt idx="41" formatCode="0">
                  <c:v>74.89</c:v>
                </c:pt>
                <c:pt idx="42" formatCode="0">
                  <c:v>80.099999999999994</c:v>
                </c:pt>
                <c:pt idx="43" formatCode="0">
                  <c:v>86.162999999999997</c:v>
                </c:pt>
                <c:pt idx="44" formatCode="0">
                  <c:v>94</c:v>
                </c:pt>
                <c:pt idx="45" formatCode="0">
                  <c:v>91.061000000000007</c:v>
                </c:pt>
                <c:pt idx="46" formatCode="0">
                  <c:v>83.183000000000007</c:v>
                </c:pt>
                <c:pt idx="47" formatCode="0">
                  <c:v>77.858000000000004</c:v>
                </c:pt>
                <c:pt idx="48" formatCode="0">
                  <c:v>80.227000000000004</c:v>
                </c:pt>
                <c:pt idx="49" formatCode="0">
                  <c:v>83.763999999999996</c:v>
                </c:pt>
                <c:pt idx="50" formatCode="0">
                  <c:v>85.447000000000003</c:v>
                </c:pt>
                <c:pt idx="51" formatCode="0">
                  <c:v>90.054000000000002</c:v>
                </c:pt>
                <c:pt idx="52" formatCode="0">
                  <c:v>81.995000000000005</c:v>
                </c:pt>
                <c:pt idx="53" formatCode="0">
                  <c:v>82.555000000000007</c:v>
                </c:pt>
                <c:pt idx="54" formatCode="0">
                  <c:v>85.296000000000006</c:v>
                </c:pt>
                <c:pt idx="55" formatCode="0">
                  <c:v>80.863</c:v>
                </c:pt>
                <c:pt idx="56" formatCode="0">
                  <c:v>74.293000000000006</c:v>
                </c:pt>
                <c:pt idx="57" formatCode="0">
                  <c:v>75.662000000000006</c:v>
                </c:pt>
                <c:pt idx="58" formatCode="0">
                  <c:v>74.394999999999996</c:v>
                </c:pt>
                <c:pt idx="59" formatCode="0">
                  <c:v>73.832999999999998</c:v>
                </c:pt>
              </c:numCache>
            </c:numRef>
          </c:val>
          <c:smooth val="0"/>
          <c:extLst>
            <c:ext xmlns:c16="http://schemas.microsoft.com/office/drawing/2014/chart" uri="{C3380CC4-5D6E-409C-BE32-E72D297353CC}">
              <c16:uniqueId val="{00000001-090C-438C-B5D6-7944EF40A086}"/>
            </c:ext>
          </c:extLst>
        </c:ser>
        <c:dLbls>
          <c:showLegendKey val="0"/>
          <c:showVal val="0"/>
          <c:showCatName val="0"/>
          <c:showSerName val="0"/>
          <c:showPercent val="0"/>
          <c:showBubbleSize val="0"/>
        </c:dLbls>
        <c:marker val="1"/>
        <c:smooth val="0"/>
        <c:axId val="1913060432"/>
        <c:axId val="1913057168"/>
      </c:lineChart>
      <c:catAx>
        <c:axId val="191305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7712"/>
        <c:crosses val="autoZero"/>
        <c:auto val="1"/>
        <c:lblAlgn val="ctr"/>
        <c:lblOffset val="0"/>
        <c:noMultiLvlLbl val="0"/>
      </c:catAx>
      <c:valAx>
        <c:axId val="191305771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888"/>
        <c:crosses val="autoZero"/>
        <c:crossBetween val="between"/>
        <c:majorUnit val="5000"/>
      </c:valAx>
      <c:valAx>
        <c:axId val="191305716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60432"/>
        <c:crosses val="max"/>
        <c:crossBetween val="between"/>
        <c:majorUnit val="50"/>
      </c:valAx>
      <c:catAx>
        <c:axId val="1913060432"/>
        <c:scaling>
          <c:orientation val="minMax"/>
        </c:scaling>
        <c:delete val="1"/>
        <c:axPos val="b"/>
        <c:numFmt formatCode="General" sourceLinked="1"/>
        <c:majorTickMark val="out"/>
        <c:minorTickMark val="none"/>
        <c:tickLblPos val="nextTo"/>
        <c:crossAx val="1913057168"/>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r>
              <a:rPr lang="ru-RU" sz="1000" baseline="0" dirty="0">
                <a:latin typeface="GHEA Grapalat" panose="02000506050000020003" pitchFamily="50" charset="0"/>
              </a:rPr>
              <a:t>%</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accent6">
                  <a:lumMod val="60000"/>
                  <a:lumOff val="40000"/>
                </a:schemeClr>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Sheet1!$D$2:$D$73</c:f>
              <c:numCache>
                <c:formatCode>0.0</c:formatCode>
                <c:ptCount val="60"/>
                <c:pt idx="0">
                  <c:v>100</c:v>
                </c:pt>
                <c:pt idx="1">
                  <c:v>96.962447126128367</c:v>
                </c:pt>
                <c:pt idx="2">
                  <c:v>95.960567533614082</c:v>
                </c:pt>
                <c:pt idx="3">
                  <c:v>93.529729866311683</c:v>
                </c:pt>
                <c:pt idx="4">
                  <c:v>92.091123723832979</c:v>
                </c:pt>
                <c:pt idx="5">
                  <c:v>91.512510672375569</c:v>
                </c:pt>
                <c:pt idx="6">
                  <c:v>89.013378170684561</c:v>
                </c:pt>
                <c:pt idx="7">
                  <c:v>88.990182098789774</c:v>
                </c:pt>
                <c:pt idx="8">
                  <c:v>88.286599494625364</c:v>
                </c:pt>
                <c:pt idx="9">
                  <c:v>88.585227990037254</c:v>
                </c:pt>
                <c:pt idx="10">
                  <c:v>90.066429130828993</c:v>
                </c:pt>
                <c:pt idx="11">
                  <c:v>91.540216231117867</c:v>
                </c:pt>
                <c:pt idx="12">
                  <c:v>92.617069748975837</c:v>
                </c:pt>
                <c:pt idx="13">
                  <c:v>94.361434263291585</c:v>
                </c:pt>
                <c:pt idx="14">
                  <c:v>97.251638518570545</c:v>
                </c:pt>
                <c:pt idx="15">
                  <c:v>100.70936288283976</c:v>
                </c:pt>
                <c:pt idx="16">
                  <c:v>103.64257323589003</c:v>
                </c:pt>
                <c:pt idx="17">
                  <c:v>106.82967247954555</c:v>
                </c:pt>
                <c:pt idx="18">
                  <c:v>110.13699414534703</c:v>
                </c:pt>
                <c:pt idx="19">
                  <c:v>109.48030399790407</c:v>
                </c:pt>
                <c:pt idx="20">
                  <c:v>108.75548562575003</c:v>
                </c:pt>
                <c:pt idx="21">
                  <c:v>108.06766028770384</c:v>
                </c:pt>
                <c:pt idx="22">
                  <c:v>108.58922016268482</c:v>
                </c:pt>
                <c:pt idx="23">
                  <c:v>107.16099744535212</c:v>
                </c:pt>
                <c:pt idx="24">
                  <c:v>108.23962262999846</c:v>
                </c:pt>
                <c:pt idx="25">
                  <c:v>109.90549099681675</c:v>
                </c:pt>
                <c:pt idx="26">
                  <c:v>115.16434724862221</c:v>
                </c:pt>
                <c:pt idx="27">
                  <c:v>117.65421466721943</c:v>
                </c:pt>
                <c:pt idx="28">
                  <c:v>118.59173625038532</c:v>
                </c:pt>
                <c:pt idx="29">
                  <c:v>121.53511779872493</c:v>
                </c:pt>
                <c:pt idx="30">
                  <c:v>119.73077522859019</c:v>
                </c:pt>
                <c:pt idx="31">
                  <c:v>116.87447214598077</c:v>
                </c:pt>
                <c:pt idx="32">
                  <c:v>116.08489391037327</c:v>
                </c:pt>
                <c:pt idx="33">
                  <c:v>112.75503050906008</c:v>
                </c:pt>
                <c:pt idx="34">
                  <c:v>110.63204452850292</c:v>
                </c:pt>
                <c:pt idx="35">
                  <c:v>108.48724826369056</c:v>
                </c:pt>
                <c:pt idx="36">
                  <c:v>107.25452724606622</c:v>
                </c:pt>
                <c:pt idx="37">
                  <c:v>109.36393733188325</c:v>
                </c:pt>
                <c:pt idx="38">
                  <c:v>110.69299878758473</c:v>
                </c:pt>
                <c:pt idx="39">
                  <c:v>112.7641641224686</c:v>
                </c:pt>
                <c:pt idx="40">
                  <c:v>113.97763985275199</c:v>
                </c:pt>
                <c:pt idx="41">
                  <c:v>114.81093570705977</c:v>
                </c:pt>
                <c:pt idx="42">
                  <c:v>114.36498524114943</c:v>
                </c:pt>
                <c:pt idx="43">
                  <c:v>111.19103641910945</c:v>
                </c:pt>
                <c:pt idx="44">
                  <c:v>110.09079008524778</c:v>
                </c:pt>
                <c:pt idx="45">
                  <c:v>108.60892032832476</c:v>
                </c:pt>
                <c:pt idx="46">
                  <c:v>108.12565983763062</c:v>
                </c:pt>
                <c:pt idx="47">
                  <c:v>107.74820115111601</c:v>
                </c:pt>
                <c:pt idx="48">
                  <c:v>105.18015963446388</c:v>
                </c:pt>
                <c:pt idx="49">
                  <c:v>108.60511573974776</c:v>
                </c:pt>
                <c:pt idx="50">
                  <c:v>110.95253733673042</c:v>
                </c:pt>
                <c:pt idx="51">
                  <c:v>112.51157458575324</c:v>
                </c:pt>
                <c:pt idx="52">
                  <c:v>112.60903997272146</c:v>
                </c:pt>
                <c:pt idx="53">
                  <c:v>113.96665125530996</c:v>
                </c:pt>
                <c:pt idx="54">
                  <c:v>115.82190989983346</c:v>
                </c:pt>
                <c:pt idx="55">
                  <c:v>117.77424038148574</c:v>
                </c:pt>
                <c:pt idx="56">
                  <c:v>115.71422855325517</c:v>
                </c:pt>
                <c:pt idx="57">
                  <c:v>114.93461738731537</c:v>
                </c:pt>
                <c:pt idx="58">
                  <c:v>114.03137725120187</c:v>
                </c:pt>
                <c:pt idx="59">
                  <c:v>114.8953070200233</c:v>
                </c:pt>
              </c:numCache>
            </c:numRef>
          </c:val>
          <c:smooth val="0"/>
          <c:extLst>
            <c:ext xmlns:c16="http://schemas.microsoft.com/office/drawing/2014/chart" uri="{C3380CC4-5D6E-409C-BE32-E72D297353CC}">
              <c16:uniqueId val="{00000000-4B1C-4D38-8148-0E8BE162D65C}"/>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Sheet1!$E$2:$E$73</c:f>
              <c:numCache>
                <c:formatCode>0.0</c:formatCode>
                <c:ptCount val="60"/>
                <c:pt idx="0">
                  <c:v>100</c:v>
                </c:pt>
                <c:pt idx="1">
                  <c:v>99.043544133111638</c:v>
                </c:pt>
                <c:pt idx="2">
                  <c:v>97.765674269698124</c:v>
                </c:pt>
                <c:pt idx="3">
                  <c:v>92.208447594815539</c:v>
                </c:pt>
                <c:pt idx="4">
                  <c:v>90.929425379156143</c:v>
                </c:pt>
                <c:pt idx="5">
                  <c:v>94.691883731501562</c:v>
                </c:pt>
                <c:pt idx="6">
                  <c:v>98.01874502593418</c:v>
                </c:pt>
                <c:pt idx="7">
                  <c:v>98.320234959244544</c:v>
                </c:pt>
                <c:pt idx="8">
                  <c:v>98.529965561530958</c:v>
                </c:pt>
                <c:pt idx="9">
                  <c:v>100.61162495572405</c:v>
                </c:pt>
                <c:pt idx="10">
                  <c:v>101.48018219401332</c:v>
                </c:pt>
                <c:pt idx="11">
                  <c:v>105.14314750727695</c:v>
                </c:pt>
                <c:pt idx="12">
                  <c:v>107.12787651839135</c:v>
                </c:pt>
                <c:pt idx="13">
                  <c:v>108.88770783462934</c:v>
                </c:pt>
                <c:pt idx="14">
                  <c:v>113.1109214227522</c:v>
                </c:pt>
                <c:pt idx="15">
                  <c:v>114.69526056353011</c:v>
                </c:pt>
                <c:pt idx="16">
                  <c:v>116.64652968870936</c:v>
                </c:pt>
                <c:pt idx="17">
                  <c:v>115.4738093260903</c:v>
                </c:pt>
                <c:pt idx="18">
                  <c:v>112.40773392828572</c:v>
                </c:pt>
                <c:pt idx="19">
                  <c:v>111.86052388722707</c:v>
                </c:pt>
                <c:pt idx="20">
                  <c:v>113.75735550391983</c:v>
                </c:pt>
                <c:pt idx="21">
                  <c:v>116.96273440110743</c:v>
                </c:pt>
                <c:pt idx="22">
                  <c:v>121.3211411068239</c:v>
                </c:pt>
                <c:pt idx="23">
                  <c:v>124.18815802008602</c:v>
                </c:pt>
                <c:pt idx="24">
                  <c:v>127.7219642684711</c:v>
                </c:pt>
                <c:pt idx="25">
                  <c:v>136.28952519445889</c:v>
                </c:pt>
                <c:pt idx="26">
                  <c:v>140.43187290204278</c:v>
                </c:pt>
                <c:pt idx="27">
                  <c:v>141.25819300858691</c:v>
                </c:pt>
                <c:pt idx="28">
                  <c:v>138.83988086938029</c:v>
                </c:pt>
                <c:pt idx="29">
                  <c:v>144.62141138666968</c:v>
                </c:pt>
                <c:pt idx="30">
                  <c:v>141.04262714740091</c:v>
                </c:pt>
                <c:pt idx="31">
                  <c:v>138.04409754374262</c:v>
                </c:pt>
                <c:pt idx="32">
                  <c:v>137.41038200884626</c:v>
                </c:pt>
                <c:pt idx="33">
                  <c:v>134.09705986536721</c:v>
                </c:pt>
                <c:pt idx="34">
                  <c:v>132.2986309101814</c:v>
                </c:pt>
                <c:pt idx="35">
                  <c:v>133.05413471344195</c:v>
                </c:pt>
                <c:pt idx="36">
                  <c:v>139.38206481718541</c:v>
                </c:pt>
                <c:pt idx="37">
                  <c:v>133.5270646137424</c:v>
                </c:pt>
                <c:pt idx="38">
                  <c:v>130.27913999481484</c:v>
                </c:pt>
                <c:pt idx="39">
                  <c:v>124.47369510460781</c:v>
                </c:pt>
                <c:pt idx="40">
                  <c:v>117.20679861848103</c:v>
                </c:pt>
                <c:pt idx="41">
                  <c:v>115.44123955260335</c:v>
                </c:pt>
                <c:pt idx="42">
                  <c:v>114.70234768099971</c:v>
                </c:pt>
                <c:pt idx="43">
                  <c:v>110.11593559431407</c:v>
                </c:pt>
                <c:pt idx="44">
                  <c:v>107.82085880815953</c:v>
                </c:pt>
                <c:pt idx="45">
                  <c:v>110.33068536795557</c:v>
                </c:pt>
                <c:pt idx="46">
                  <c:v>112.14474979786961</c:v>
                </c:pt>
                <c:pt idx="47">
                  <c:v>114.30027825197347</c:v>
                </c:pt>
                <c:pt idx="48">
                  <c:v>114.29340029253633</c:v>
                </c:pt>
                <c:pt idx="49">
                  <c:v>116.22777043154811</c:v>
                </c:pt>
                <c:pt idx="50">
                  <c:v>119.44672551967004</c:v>
                </c:pt>
                <c:pt idx="51">
                  <c:v>119.18360960909189</c:v>
                </c:pt>
                <c:pt idx="52">
                  <c:v>121.60209892849775</c:v>
                </c:pt>
                <c:pt idx="53">
                  <c:v>123.12438146436163</c:v>
                </c:pt>
                <c:pt idx="54">
                  <c:v>123.1348657914117</c:v>
                </c:pt>
                <c:pt idx="55">
                  <c:v>126.43469310933573</c:v>
                </c:pt>
                <c:pt idx="56">
                  <c:v>131.4646076160376</c:v>
                </c:pt>
                <c:pt idx="57">
                  <c:v>133.85038702955114</c:v>
                </c:pt>
                <c:pt idx="58">
                  <c:v>134.69520258251458</c:v>
                </c:pt>
                <c:pt idx="59">
                  <c:v>133.76816228785029</c:v>
                </c:pt>
              </c:numCache>
            </c:numRef>
          </c:val>
          <c:smooth val="0"/>
          <c:extLst>
            <c:ext xmlns:c16="http://schemas.microsoft.com/office/drawing/2014/chart" uri="{C3380CC4-5D6E-409C-BE32-E72D297353CC}">
              <c16:uniqueId val="{00000001-4B1C-4D38-8148-0E8BE162D65C}"/>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Sheet1!$F$2:$F$73</c:f>
              <c:numCache>
                <c:formatCode>0.0</c:formatCode>
                <c:ptCount val="60"/>
                <c:pt idx="0">
                  <c:v>100</c:v>
                </c:pt>
                <c:pt idx="1">
                  <c:v>98.896489473460662</c:v>
                </c:pt>
                <c:pt idx="2">
                  <c:v>97.354588070192648</c:v>
                </c:pt>
                <c:pt idx="3">
                  <c:v>98.966915672247936</c:v>
                </c:pt>
                <c:pt idx="4">
                  <c:v>97.349720372924509</c:v>
                </c:pt>
                <c:pt idx="5">
                  <c:v>96.64518924355886</c:v>
                </c:pt>
                <c:pt idx="6">
                  <c:v>96.609406447447327</c:v>
                </c:pt>
                <c:pt idx="7">
                  <c:v>98.540214721856103</c:v>
                </c:pt>
                <c:pt idx="8">
                  <c:v>103.61499425730985</c:v>
                </c:pt>
                <c:pt idx="9">
                  <c:v>111.32300151141369</c:v>
                </c:pt>
                <c:pt idx="10">
                  <c:v>114.05935868739944</c:v>
                </c:pt>
                <c:pt idx="11">
                  <c:v>115.59185960024961</c:v>
                </c:pt>
                <c:pt idx="12">
                  <c:v>124.15584030111943</c:v>
                </c:pt>
                <c:pt idx="13">
                  <c:v>125.28585385204137</c:v>
                </c:pt>
                <c:pt idx="14">
                  <c:v>123.06234521179893</c:v>
                </c:pt>
                <c:pt idx="15">
                  <c:v>125.33906634376989</c:v>
                </c:pt>
                <c:pt idx="16">
                  <c:v>132.7825109914593</c:v>
                </c:pt>
                <c:pt idx="17">
                  <c:v>129.42483678652883</c:v>
                </c:pt>
                <c:pt idx="18">
                  <c:v>125.39501268819211</c:v>
                </c:pt>
                <c:pt idx="19">
                  <c:v>129.49796360372699</c:v>
                </c:pt>
                <c:pt idx="20">
                  <c:v>131.92995503508322</c:v>
                </c:pt>
                <c:pt idx="21">
                  <c:v>136.20636461375216</c:v>
                </c:pt>
                <c:pt idx="22">
                  <c:v>140.47896032795231</c:v>
                </c:pt>
                <c:pt idx="23">
                  <c:v>139.53567678031064</c:v>
                </c:pt>
                <c:pt idx="24">
                  <c:v>139.68728275196173</c:v>
                </c:pt>
                <c:pt idx="25">
                  <c:v>144.28283587314903</c:v>
                </c:pt>
                <c:pt idx="26">
                  <c:v>168.96961470664331</c:v>
                </c:pt>
                <c:pt idx="27">
                  <c:v>168.51813900180628</c:v>
                </c:pt>
                <c:pt idx="28">
                  <c:v>172.33594404372093</c:v>
                </c:pt>
                <c:pt idx="29">
                  <c:v>165.20080555434041</c:v>
                </c:pt>
                <c:pt idx="30">
                  <c:v>146.25118097595805</c:v>
                </c:pt>
                <c:pt idx="31">
                  <c:v>144.58154248235959</c:v>
                </c:pt>
                <c:pt idx="32">
                  <c:v>146.90511515601051</c:v>
                </c:pt>
                <c:pt idx="33">
                  <c:v>151.241897810279</c:v>
                </c:pt>
                <c:pt idx="34">
                  <c:v>149.08367662607887</c:v>
                </c:pt>
                <c:pt idx="35">
                  <c:v>146.24855150964714</c:v>
                </c:pt>
                <c:pt idx="36">
                  <c:v>146.48507219456718</c:v>
                </c:pt>
                <c:pt idx="37">
                  <c:v>145.71404795784031</c:v>
                </c:pt>
                <c:pt idx="38">
                  <c:v>137.60829089202531</c:v>
                </c:pt>
                <c:pt idx="39">
                  <c:v>135.21111081800785</c:v>
                </c:pt>
                <c:pt idx="40">
                  <c:v>128.38853991975151</c:v>
                </c:pt>
                <c:pt idx="41">
                  <c:v>125.7380012622102</c:v>
                </c:pt>
                <c:pt idx="42">
                  <c:v>125.00063988307451</c:v>
                </c:pt>
                <c:pt idx="43">
                  <c:v>124.13961533355584</c:v>
                </c:pt>
                <c:pt idx="44">
                  <c:v>125.43026114569386</c:v>
                </c:pt>
                <c:pt idx="45">
                  <c:v>123.91857489784428</c:v>
                </c:pt>
                <c:pt idx="46">
                  <c:v>120.2161171067805</c:v>
                </c:pt>
                <c:pt idx="47">
                  <c:v>121.96276330582215</c:v>
                </c:pt>
                <c:pt idx="48">
                  <c:v>119.07881471267888</c:v>
                </c:pt>
                <c:pt idx="49">
                  <c:v>113.06702860331106</c:v>
                </c:pt>
                <c:pt idx="50">
                  <c:v>110.1359644048525</c:v>
                </c:pt>
                <c:pt idx="51">
                  <c:v>110.85394020199692</c:v>
                </c:pt>
                <c:pt idx="52">
                  <c:v>117.8644658778435</c:v>
                </c:pt>
                <c:pt idx="53">
                  <c:v>114.37872035952594</c:v>
                </c:pt>
                <c:pt idx="54">
                  <c:v>109.92702564123972</c:v>
                </c:pt>
                <c:pt idx="55">
                  <c:v>109.40110453712798</c:v>
                </c:pt>
                <c:pt idx="56">
                  <c:v>112.77906087741616</c:v>
                </c:pt>
                <c:pt idx="57">
                  <c:v>113.66549885172211</c:v>
                </c:pt>
                <c:pt idx="58">
                  <c:v>110.65270944903391</c:v>
                </c:pt>
                <c:pt idx="59">
                  <c:v>110.5662843610157</c:v>
                </c:pt>
              </c:numCache>
            </c:numRef>
          </c:val>
          <c:smooth val="0"/>
          <c:extLst>
            <c:ext xmlns:c16="http://schemas.microsoft.com/office/drawing/2014/chart" uri="{C3380CC4-5D6E-409C-BE32-E72D297353CC}">
              <c16:uniqueId val="{00000002-4B1C-4D38-8148-0E8BE162D65C}"/>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Sheet1!$G$2:$G$73</c:f>
              <c:numCache>
                <c:formatCode>0.0</c:formatCode>
                <c:ptCount val="60"/>
                <c:pt idx="0">
                  <c:v>100</c:v>
                </c:pt>
                <c:pt idx="1">
                  <c:v>89.718640846727638</c:v>
                </c:pt>
                <c:pt idx="2">
                  <c:v>78.564197696641017</c:v>
                </c:pt>
                <c:pt idx="3">
                  <c:v>74.65803064982515</c:v>
                </c:pt>
                <c:pt idx="4">
                  <c:v>71.523093751078406</c:v>
                </c:pt>
                <c:pt idx="5">
                  <c:v>79.657538529464688</c:v>
                </c:pt>
                <c:pt idx="6">
                  <c:v>85.715303254301887</c:v>
                </c:pt>
                <c:pt idx="7">
                  <c:v>90.774887513219397</c:v>
                </c:pt>
                <c:pt idx="8">
                  <c:v>96.196002241549934</c:v>
                </c:pt>
                <c:pt idx="9">
                  <c:v>97.901016039887921</c:v>
                </c:pt>
                <c:pt idx="10">
                  <c:v>112.11314055004938</c:v>
                </c:pt>
                <c:pt idx="11">
                  <c:v>120.66246867131157</c:v>
                </c:pt>
                <c:pt idx="12">
                  <c:v>127.72124672301838</c:v>
                </c:pt>
                <c:pt idx="13">
                  <c:v>135.61947508485801</c:v>
                </c:pt>
                <c:pt idx="14">
                  <c:v>146.50814807653799</c:v>
                </c:pt>
                <c:pt idx="15">
                  <c:v>149.16542100693928</c:v>
                </c:pt>
                <c:pt idx="16">
                  <c:v>160.83128603195638</c:v>
                </c:pt>
                <c:pt idx="17">
                  <c:v>145.01688958463166</c:v>
                </c:pt>
                <c:pt idx="18">
                  <c:v>143.00737104787686</c:v>
                </c:pt>
                <c:pt idx="19">
                  <c:v>152.54156464966948</c:v>
                </c:pt>
                <c:pt idx="20">
                  <c:v>155.03260105365968</c:v>
                </c:pt>
                <c:pt idx="21">
                  <c:v>169.99280475438295</c:v>
                </c:pt>
                <c:pt idx="22">
                  <c:v>169.73318362664358</c:v>
                </c:pt>
                <c:pt idx="23">
                  <c:v>164.16931327502888</c:v>
                </c:pt>
                <c:pt idx="24">
                  <c:v>170.99891633122303</c:v>
                </c:pt>
                <c:pt idx="25">
                  <c:v>185.51732591297051</c:v>
                </c:pt>
                <c:pt idx="26">
                  <c:v>231.60619911214198</c:v>
                </c:pt>
                <c:pt idx="27">
                  <c:v>218.45508785010091</c:v>
                </c:pt>
                <c:pt idx="28">
                  <c:v>210.83011034863964</c:v>
                </c:pt>
                <c:pt idx="29">
                  <c:v>194.78548820280753</c:v>
                </c:pt>
                <c:pt idx="30">
                  <c:v>155.26211883162085</c:v>
                </c:pt>
                <c:pt idx="31">
                  <c:v>150.20670215598656</c:v>
                </c:pt>
                <c:pt idx="32">
                  <c:v>140.31935955711015</c:v>
                </c:pt>
                <c:pt idx="33">
                  <c:v>139.13497470285517</c:v>
                </c:pt>
                <c:pt idx="34">
                  <c:v>142.28227897790498</c:v>
                </c:pt>
                <c:pt idx="35">
                  <c:v>132.98715986905202</c:v>
                </c:pt>
                <c:pt idx="36">
                  <c:v>129.13513700025376</c:v>
                </c:pt>
                <c:pt idx="37">
                  <c:v>124.95722413538552</c:v>
                </c:pt>
                <c:pt idx="38">
                  <c:v>121.20260869915229</c:v>
                </c:pt>
                <c:pt idx="39">
                  <c:v>119.58705346125132</c:v>
                </c:pt>
                <c:pt idx="40">
                  <c:v>109.15079747576469</c:v>
                </c:pt>
                <c:pt idx="41">
                  <c:v>106.49039517634438</c:v>
                </c:pt>
                <c:pt idx="42">
                  <c:v>119.38104438829416</c:v>
                </c:pt>
                <c:pt idx="43">
                  <c:v>115.71684617376567</c:v>
                </c:pt>
                <c:pt idx="44">
                  <c:v>111.1591880294109</c:v>
                </c:pt>
                <c:pt idx="45">
                  <c:v>110.37033113819851</c:v>
                </c:pt>
                <c:pt idx="46">
                  <c:v>114.15424228096271</c:v>
                </c:pt>
                <c:pt idx="47">
                  <c:v>112.47985431810756</c:v>
                </c:pt>
                <c:pt idx="48">
                  <c:v>112.63551116807763</c:v>
                </c:pt>
                <c:pt idx="49">
                  <c:v>111.16421771674916</c:v>
                </c:pt>
                <c:pt idx="50">
                  <c:v>120.07331118352417</c:v>
                </c:pt>
                <c:pt idx="51">
                  <c:v>120.38577009014317</c:v>
                </c:pt>
                <c:pt idx="52">
                  <c:v>117.55594230379502</c:v>
                </c:pt>
                <c:pt idx="53">
                  <c:v>121.22517043974523</c:v>
                </c:pt>
                <c:pt idx="54">
                  <c:v>124.15840323351051</c:v>
                </c:pt>
                <c:pt idx="55">
                  <c:v>125.19186111860277</c:v>
                </c:pt>
                <c:pt idx="56">
                  <c:v>130.92839187983415</c:v>
                </c:pt>
                <c:pt idx="57">
                  <c:v>140.45170546977187</c:v>
                </c:pt>
                <c:pt idx="58">
                  <c:v>150.92427283082125</c:v>
                </c:pt>
                <c:pt idx="59">
                  <c:v>150.14080720271212</c:v>
                </c:pt>
              </c:numCache>
            </c:numRef>
          </c:val>
          <c:smooth val="0"/>
          <c:extLst>
            <c:ext xmlns:c16="http://schemas.microsoft.com/office/drawing/2014/chart" uri="{C3380CC4-5D6E-409C-BE32-E72D297353CC}">
              <c16:uniqueId val="{00000003-4B1C-4D38-8148-0E8BE162D65C}"/>
            </c:ext>
          </c:extLst>
        </c:ser>
        <c:ser>
          <c:idx val="4"/>
          <c:order val="4"/>
          <c:tx>
            <c:strRef>
              <c:f>Sheet1!$H$1</c:f>
              <c:strCache>
                <c:ptCount val="1"/>
                <c:pt idx="0">
                  <c:v>Շաքարավազ</c:v>
                </c:pt>
              </c:strCache>
            </c:strRef>
          </c:tx>
          <c:spPr>
            <a:ln w="12700" cap="rnd">
              <a:solidFill>
                <a:schemeClr val="accent2">
                  <a:lumMod val="60000"/>
                  <a:lumOff val="40000"/>
                </a:schemeClr>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Sheet1!$H$2:$H$73</c:f>
              <c:numCache>
                <c:formatCode>0.0</c:formatCode>
                <c:ptCount val="60"/>
                <c:pt idx="0">
                  <c:v>100</c:v>
                </c:pt>
                <c:pt idx="1">
                  <c:v>104.46465295629822</c:v>
                </c:pt>
                <c:pt idx="2">
                  <c:v>84.468830334190244</c:v>
                </c:pt>
                <c:pt idx="3">
                  <c:v>72.171930468845645</c:v>
                </c:pt>
                <c:pt idx="4">
                  <c:v>77.501928020565543</c:v>
                </c:pt>
                <c:pt idx="5">
                  <c:v>85.607005141388171</c:v>
                </c:pt>
                <c:pt idx="6">
                  <c:v>86.830781267463948</c:v>
                </c:pt>
                <c:pt idx="7">
                  <c:v>92.636185579630293</c:v>
                </c:pt>
                <c:pt idx="8">
                  <c:v>90.199228791773749</c:v>
                </c:pt>
                <c:pt idx="9">
                  <c:v>96.767352185089962</c:v>
                </c:pt>
                <c:pt idx="10">
                  <c:v>99.986182519280177</c:v>
                </c:pt>
                <c:pt idx="11">
                  <c:v>99.543701799485845</c:v>
                </c:pt>
                <c:pt idx="12">
                  <c:v>107.56105398457581</c:v>
                </c:pt>
                <c:pt idx="13">
                  <c:v>114.43251928020563</c:v>
                </c:pt>
                <c:pt idx="14">
                  <c:v>109.8893483849335</c:v>
                </c:pt>
                <c:pt idx="15">
                  <c:v>114.21808054841472</c:v>
                </c:pt>
                <c:pt idx="16">
                  <c:v>122.00032133676089</c:v>
                </c:pt>
                <c:pt idx="17">
                  <c:v>123.06555269922873</c:v>
                </c:pt>
                <c:pt idx="18">
                  <c:v>125.14460154241642</c:v>
                </c:pt>
                <c:pt idx="19">
                  <c:v>137.69922879177369</c:v>
                </c:pt>
                <c:pt idx="20">
                  <c:v>138.43830334190227</c:v>
                </c:pt>
                <c:pt idx="21">
                  <c:v>136.01205777940993</c:v>
                </c:pt>
                <c:pt idx="22">
                  <c:v>137.29113110539839</c:v>
                </c:pt>
                <c:pt idx="23">
                  <c:v>133.00449871465293</c:v>
                </c:pt>
                <c:pt idx="24">
                  <c:v>128.70363569592357</c:v>
                </c:pt>
                <c:pt idx="25">
                  <c:v>126.26317480719788</c:v>
                </c:pt>
                <c:pt idx="26">
                  <c:v>134.69682575164853</c:v>
                </c:pt>
                <c:pt idx="27">
                  <c:v>138.84318766066829</c:v>
                </c:pt>
                <c:pt idx="28">
                  <c:v>137.52249357326471</c:v>
                </c:pt>
                <c:pt idx="29">
                  <c:v>133.97814910025699</c:v>
                </c:pt>
                <c:pt idx="30">
                  <c:v>128.90225241767649</c:v>
                </c:pt>
                <c:pt idx="31">
                  <c:v>126.19816698334624</c:v>
                </c:pt>
                <c:pt idx="32">
                  <c:v>125.28598971722354</c:v>
                </c:pt>
                <c:pt idx="33">
                  <c:v>124.03445954217152</c:v>
                </c:pt>
                <c:pt idx="34">
                  <c:v>130.67480719794335</c:v>
                </c:pt>
                <c:pt idx="35">
                  <c:v>133.85420492104285</c:v>
                </c:pt>
                <c:pt idx="36">
                  <c:v>133.40984208593454</c:v>
                </c:pt>
                <c:pt idx="37">
                  <c:v>142.98586118251916</c:v>
                </c:pt>
                <c:pt idx="38">
                  <c:v>145.0704146641331</c:v>
                </c:pt>
                <c:pt idx="39">
                  <c:v>170.66296847517231</c:v>
                </c:pt>
                <c:pt idx="40">
                  <c:v>179.58868894601522</c:v>
                </c:pt>
                <c:pt idx="41">
                  <c:v>173.81426735218494</c:v>
                </c:pt>
                <c:pt idx="42">
                  <c:v>167.15448647325238</c:v>
                </c:pt>
                <c:pt idx="43">
                  <c:v>169.28775008382681</c:v>
                </c:pt>
                <c:pt idx="44">
                  <c:v>185.87158770963373</c:v>
                </c:pt>
                <c:pt idx="45">
                  <c:v>181.83804627249339</c:v>
                </c:pt>
                <c:pt idx="46">
                  <c:v>184.36375321336737</c:v>
                </c:pt>
                <c:pt idx="47">
                  <c:v>153.33901028277617</c:v>
                </c:pt>
                <c:pt idx="48">
                  <c:v>155.81298200514124</c:v>
                </c:pt>
                <c:pt idx="49">
                  <c:v>160.8054841473863</c:v>
                </c:pt>
                <c:pt idx="50">
                  <c:v>152.33868894601531</c:v>
                </c:pt>
                <c:pt idx="51">
                  <c:v>144.63688946015412</c:v>
                </c:pt>
                <c:pt idx="52">
                  <c:v>133.77249357326465</c:v>
                </c:pt>
                <c:pt idx="53">
                  <c:v>136.35122107969141</c:v>
                </c:pt>
                <c:pt idx="54">
                  <c:v>136.55024030401239</c:v>
                </c:pt>
                <c:pt idx="55">
                  <c:v>130.07069408740352</c:v>
                </c:pt>
                <c:pt idx="56">
                  <c:v>144.22603745868514</c:v>
                </c:pt>
                <c:pt idx="57">
                  <c:v>148.00575611936947</c:v>
                </c:pt>
                <c:pt idx="58">
                  <c:v>144.43475333578147</c:v>
                </c:pt>
                <c:pt idx="59">
                  <c:v>137.09071844134741</c:v>
                </c:pt>
              </c:numCache>
            </c:numRef>
          </c:val>
          <c:smooth val="0"/>
          <c:extLst>
            <c:ext xmlns:c16="http://schemas.microsoft.com/office/drawing/2014/chart" uri="{C3380CC4-5D6E-409C-BE32-E72D297353CC}">
              <c16:uniqueId val="{00000004-4B1C-4D38-8148-0E8BE162D65C}"/>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Sheet1!$C$2:$C$73</c:f>
              <c:numCache>
                <c:formatCode>0.0</c:formatCode>
                <c:ptCount val="60"/>
                <c:pt idx="0">
                  <c:v>100</c:v>
                </c:pt>
                <c:pt idx="1">
                  <c:v>96.979843150669311</c:v>
                </c:pt>
                <c:pt idx="2">
                  <c:v>92.842164113816352</c:v>
                </c:pt>
                <c:pt idx="3">
                  <c:v>90.256824793073221</c:v>
                </c:pt>
                <c:pt idx="4">
                  <c:v>88.89944916926278</c:v>
                </c:pt>
                <c:pt idx="5">
                  <c:v>90.967908091514559</c:v>
                </c:pt>
                <c:pt idx="6">
                  <c:v>91.734242364231477</c:v>
                </c:pt>
                <c:pt idx="7">
                  <c:v>93.562746367199566</c:v>
                </c:pt>
                <c:pt idx="8">
                  <c:v>95.606887581486234</c:v>
                </c:pt>
                <c:pt idx="9">
                  <c:v>98.889216778941204</c:v>
                </c:pt>
                <c:pt idx="10">
                  <c:v>102.99555842310758</c:v>
                </c:pt>
                <c:pt idx="11">
                  <c:v>105.93252893729041</c:v>
                </c:pt>
                <c:pt idx="12">
                  <c:v>110.7403021450596</c:v>
                </c:pt>
                <c:pt idx="13">
                  <c:v>113.71057431221169</c:v>
                </c:pt>
                <c:pt idx="14">
                  <c:v>116.30416188335157</c:v>
                </c:pt>
                <c:pt idx="15">
                  <c:v>119.07150027984608</c:v>
                </c:pt>
                <c:pt idx="16">
                  <c:v>124.98213114719645</c:v>
                </c:pt>
                <c:pt idx="17">
                  <c:v>122.20407790613682</c:v>
                </c:pt>
                <c:pt idx="18">
                  <c:v>121.50878894563063</c:v>
                </c:pt>
                <c:pt idx="19">
                  <c:v>124.81881593844068</c:v>
                </c:pt>
                <c:pt idx="20">
                  <c:v>126.01966961991309</c:v>
                </c:pt>
                <c:pt idx="21">
                  <c:v>129.95584701776471</c:v>
                </c:pt>
                <c:pt idx="22">
                  <c:v>131.99504352762136</c:v>
                </c:pt>
                <c:pt idx="23">
                  <c:v>130.41113073126715</c:v>
                </c:pt>
                <c:pt idx="24">
                  <c:v>132.26749299070491</c:v>
                </c:pt>
                <c:pt idx="25">
                  <c:v>137.77038448935525</c:v>
                </c:pt>
                <c:pt idx="26">
                  <c:v>155.79478301981888</c:v>
                </c:pt>
                <c:pt idx="27">
                  <c:v>154.54800182764757</c:v>
                </c:pt>
                <c:pt idx="28">
                  <c:v>154.17516773102912</c:v>
                </c:pt>
                <c:pt idx="29">
                  <c:v>150.9126083828148</c:v>
                </c:pt>
                <c:pt idx="30">
                  <c:v>137.12361396997665</c:v>
                </c:pt>
                <c:pt idx="31">
                  <c:v>134.2041796560037</c:v>
                </c:pt>
                <c:pt idx="32">
                  <c:v>132.70410892826075</c:v>
                </c:pt>
                <c:pt idx="33">
                  <c:v>132.05710231369639</c:v>
                </c:pt>
                <c:pt idx="34">
                  <c:v>131.43188203108096</c:v>
                </c:pt>
                <c:pt idx="35">
                  <c:v>128.56113503612661</c:v>
                </c:pt>
                <c:pt idx="36">
                  <c:v>128.40490558895269</c:v>
                </c:pt>
                <c:pt idx="37">
                  <c:v>127.90412943325562</c:v>
                </c:pt>
                <c:pt idx="38">
                  <c:v>125.05191539608637</c:v>
                </c:pt>
                <c:pt idx="39">
                  <c:v>125.50511811333227</c:v>
                </c:pt>
                <c:pt idx="40">
                  <c:v>121.63875034858528</c:v>
                </c:pt>
                <c:pt idx="41">
                  <c:v>120.09675009702705</c:v>
                </c:pt>
                <c:pt idx="42">
                  <c:v>121.50897443365328</c:v>
                </c:pt>
                <c:pt idx="43">
                  <c:v>119.02464149094047</c:v>
                </c:pt>
                <c:pt idx="44">
                  <c:v>118.89060746111552</c:v>
                </c:pt>
                <c:pt idx="45">
                  <c:v>117.93615039461861</c:v>
                </c:pt>
                <c:pt idx="46">
                  <c:v>117.80245799710039</c:v>
                </c:pt>
                <c:pt idx="47">
                  <c:v>116.30598677041485</c:v>
                </c:pt>
                <c:pt idx="48">
                  <c:v>114.79885957480619</c:v>
                </c:pt>
                <c:pt idx="49">
                  <c:v>114.56308114760937</c:v>
                </c:pt>
                <c:pt idx="50">
                  <c:v>116.04309207150992</c:v>
                </c:pt>
                <c:pt idx="51">
                  <c:v>116.32414612522598</c:v>
                </c:pt>
                <c:pt idx="52">
                  <c:v>117.53308176437696</c:v>
                </c:pt>
                <c:pt idx="53">
                  <c:v>118.02228982175475</c:v>
                </c:pt>
                <c:pt idx="54">
                  <c:v>117.91604173860493</c:v>
                </c:pt>
                <c:pt idx="55">
                  <c:v>118.68456423051848</c:v>
                </c:pt>
                <c:pt idx="56">
                  <c:v>121.53454160808042</c:v>
                </c:pt>
                <c:pt idx="57">
                  <c:v>123.77512744638084</c:v>
                </c:pt>
                <c:pt idx="58">
                  <c:v>124.37200755547113</c:v>
                </c:pt>
                <c:pt idx="59">
                  <c:v>123.92414852514955</c:v>
                </c:pt>
              </c:numCache>
            </c:numRef>
          </c:val>
          <c:smooth val="0"/>
          <c:extLst>
            <c:ext xmlns:c16="http://schemas.microsoft.com/office/drawing/2014/chart" uri="{C3380CC4-5D6E-409C-BE32-E72D297353CC}">
              <c16:uniqueId val="{00000005-4B1C-4D38-8148-0E8BE162D65C}"/>
            </c:ext>
          </c:extLst>
        </c:ser>
        <c:dLbls>
          <c:showLegendKey val="0"/>
          <c:showVal val="0"/>
          <c:showCatName val="0"/>
          <c:showSerName val="0"/>
          <c:showPercent val="0"/>
          <c:showBubbleSize val="0"/>
        </c:dLbls>
        <c:smooth val="0"/>
        <c:axId val="1913053904"/>
        <c:axId val="1909633744"/>
      </c:lineChart>
      <c:catAx>
        <c:axId val="1913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09633744"/>
        <c:crosses val="autoZero"/>
        <c:auto val="1"/>
        <c:lblAlgn val="ctr"/>
        <c:lblOffset val="0"/>
        <c:noMultiLvlLbl val="0"/>
      </c:catAx>
      <c:valAx>
        <c:axId val="190963374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a:t>
                </a:r>
                <a:r>
                  <a:rPr lang="en-US" sz="900" dirty="0">
                    <a:latin typeface="GHEA Grapalat" panose="02000506050000020003" pitchFamily="50" charset="0"/>
                  </a:rPr>
                  <a:t>2</a:t>
                </a:r>
                <a:r>
                  <a:rPr lang="hy-AM" sz="900" dirty="0">
                    <a:latin typeface="GHEA Grapalat" panose="02000506050000020003" pitchFamily="50" charset="0"/>
                  </a:rPr>
                  <a:t>0թ.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3904"/>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-1.1331304573717087</c:v>
                </c:pt>
                <c:pt idx="1">
                  <c:v>0.80838605655436369</c:v>
                </c:pt>
                <c:pt idx="2">
                  <c:v>0.89062048219318757</c:v>
                </c:pt>
                <c:pt idx="3">
                  <c:v>1.1375458722415011</c:v>
                </c:pt>
                <c:pt idx="4">
                  <c:v>-0.17135937825325703</c:v>
                </c:pt>
              </c:numCache>
            </c:numRef>
          </c:val>
          <c:extLst>
            <c:ext xmlns:c16="http://schemas.microsoft.com/office/drawing/2014/chart" uri="{C3380CC4-5D6E-409C-BE32-E72D297353CC}">
              <c16:uniqueId val="{00000000-AF39-4F90-8E22-0DCD76EC4144}"/>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-0.25988576634384081</c:v>
                </c:pt>
                <c:pt idx="1">
                  <c:v>0.48378819255706407</c:v>
                </c:pt>
                <c:pt idx="2">
                  <c:v>1.3654759971675179</c:v>
                </c:pt>
                <c:pt idx="3">
                  <c:v>-0.40568951625423261</c:v>
                </c:pt>
                <c:pt idx="4">
                  <c:v>0.50905829765005628</c:v>
                </c:pt>
              </c:numCache>
            </c:numRef>
          </c:val>
          <c:extLst>
            <c:ext xmlns:c16="http://schemas.microsoft.com/office/drawing/2014/chart" uri="{C3380CC4-5D6E-409C-BE32-E72D297353CC}">
              <c16:uniqueId val="{00000001-AF39-4F90-8E22-0DCD76EC4144}"/>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-0.42852119183058857</c:v>
                </c:pt>
                <c:pt idx="1">
                  <c:v>-9.0982724281260238E-2</c:v>
                </c:pt>
                <c:pt idx="2">
                  <c:v>-0.31823269317860231</c:v>
                </c:pt>
                <c:pt idx="3">
                  <c:v>0.2930115967670332</c:v>
                </c:pt>
                <c:pt idx="4">
                  <c:v>8.4331538056907185E-2</c:v>
                </c:pt>
              </c:numCache>
            </c:numRef>
          </c:val>
          <c:extLst>
            <c:ext xmlns:c16="http://schemas.microsoft.com/office/drawing/2014/chart" uri="{C3380CC4-5D6E-409C-BE32-E72D297353CC}">
              <c16:uniqueId val="{00000002-AF39-4F90-8E22-0DCD76EC4144}"/>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-0.37642104931984077</c:v>
                </c:pt>
                <c:pt idx="1">
                  <c:v>0.21459326801865192</c:v>
                </c:pt>
                <c:pt idx="2">
                  <c:v>1.2132943543742429</c:v>
                </c:pt>
                <c:pt idx="3">
                  <c:v>1.0832259968615996</c:v>
                </c:pt>
                <c:pt idx="4">
                  <c:v>0.92875896923681744</c:v>
                </c:pt>
              </c:numCache>
            </c:numRef>
          </c:val>
          <c:extLst>
            <c:ext xmlns:c16="http://schemas.microsoft.com/office/drawing/2014/chart" uri="{C3380CC4-5D6E-409C-BE32-E72D297353CC}">
              <c16:uniqueId val="{00000003-AF39-4F90-8E22-0DCD76EC4144}"/>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-5.0020415351340226</c:v>
                </c:pt>
                <c:pt idx="1">
                  <c:v>4.3842152071511782</c:v>
                </c:pt>
                <c:pt idx="2">
                  <c:v>9.4488418594436503</c:v>
                </c:pt>
                <c:pt idx="3">
                  <c:v>6.1919060503840964</c:v>
                </c:pt>
                <c:pt idx="4">
                  <c:v>4.5492105733094812</c:v>
                </c:pt>
              </c:numCache>
            </c:numRef>
          </c:val>
          <c:extLst>
            <c:ext xmlns:c16="http://schemas.microsoft.com/office/drawing/2014/chart" uri="{C3380CC4-5D6E-409C-BE32-E72D297353CC}">
              <c16:uniqueId val="{00000004-AF39-4F90-8E22-0DCD76EC4144}"/>
            </c:ext>
          </c:extLst>
        </c:ser>
        <c:dLbls>
          <c:showLegendKey val="0"/>
          <c:showVal val="0"/>
          <c:showCatName val="0"/>
          <c:showSerName val="0"/>
          <c:showPercent val="0"/>
          <c:showBubbleSize val="0"/>
        </c:dLbls>
        <c:gapWidth val="219"/>
        <c:overlap val="100"/>
        <c:axId val="427216896"/>
        <c:axId val="334772992"/>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5.284552845528455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39-4F90-8E22-0DCD76EC4144}"/>
                </c:ext>
              </c:extLst>
            </c:dLbl>
            <c:dLbl>
              <c:idx val="1"/>
              <c:layout>
                <c:manualLayout>
                  <c:x val="-1.2195121951219587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F39-4F90-8E22-0DCD76EC4144}"/>
                </c:ext>
              </c:extLst>
            </c:dLbl>
            <c:dLbl>
              <c:idx val="2"/>
              <c:layout>
                <c:manualLayout>
                  <c:x val="-0.10156968183855074"/>
                  <c:y val="-4.75787069617984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39-4F90-8E22-0DCD76EC4144}"/>
                </c:ext>
              </c:extLst>
            </c:dLbl>
            <c:dLbl>
              <c:idx val="3"/>
              <c:layout>
                <c:manualLayout>
                  <c:x val="-9.6883362140708015E-2"/>
                  <c:y val="-2.6185285018124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39-4F90-8E22-0DCD76EC4144}"/>
                </c:ext>
              </c:extLst>
            </c:dLbl>
            <c:dLbl>
              <c:idx val="4"/>
              <c:layout>
                <c:manualLayout>
                  <c:x val="-3.6585365853658534E-2"/>
                  <c:y val="-1.3490725126475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39-4F90-8E22-0DCD76EC4144}"/>
                </c:ext>
              </c:extLst>
            </c:dLbl>
            <c:dLbl>
              <c:idx val="5"/>
              <c:layout>
                <c:manualLayout>
                  <c:x val="-3.6585365853658534E-2"/>
                  <c:y val="-2.69814502529510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F39-4F90-8E22-0DCD76EC4144}"/>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-7.200000000000002</c:v>
                </c:pt>
                <c:pt idx="1">
                  <c:v>5.799999999999998</c:v>
                </c:pt>
                <c:pt idx="2">
                  <c:v>12.599999999999996</c:v>
                </c:pt>
                <c:pt idx="3">
                  <c:v>8.2999999999999972</c:v>
                </c:pt>
                <c:pt idx="4">
                  <c:v>5.9000000000000057</c:v>
                </c:pt>
              </c:numCache>
            </c:numRef>
          </c:val>
          <c:smooth val="0"/>
          <c:extLst>
            <c:ext xmlns:c16="http://schemas.microsoft.com/office/drawing/2014/chart" uri="{C3380CC4-5D6E-409C-BE32-E72D297353CC}">
              <c16:uniqueId val="{0000000B-AF39-4F90-8E22-0DCD76EC4144}"/>
            </c:ext>
          </c:extLst>
        </c:ser>
        <c:dLbls>
          <c:showLegendKey val="0"/>
          <c:showVal val="0"/>
          <c:showCatName val="0"/>
          <c:showSerName val="0"/>
          <c:showPercent val="0"/>
          <c:showBubbleSize val="0"/>
        </c:dLbls>
        <c:marker val="1"/>
        <c:smooth val="0"/>
        <c:axId val="427216896"/>
        <c:axId val="334772992"/>
      </c:lineChart>
      <c:catAx>
        <c:axId val="427216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2992"/>
        <c:crosses val="autoZero"/>
        <c:auto val="1"/>
        <c:lblAlgn val="ctr"/>
        <c:lblOffset val="10"/>
        <c:noMultiLvlLbl val="0"/>
      </c:catAx>
      <c:valAx>
        <c:axId val="334772992"/>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27216896"/>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19.908953272735165</c:v>
                </c:pt>
                <c:pt idx="1">
                  <c:v>19.85382458807544</c:v>
                </c:pt>
                <c:pt idx="2">
                  <c:v>18.638218325454012</c:v>
                </c:pt>
                <c:pt idx="3">
                  <c:v>16.45535388903728</c:v>
                </c:pt>
                <c:pt idx="4">
                  <c:v>16.150914442904508</c:v>
                </c:pt>
              </c:numCache>
            </c:numRef>
          </c:val>
          <c:extLst>
            <c:ext xmlns:c16="http://schemas.microsoft.com/office/drawing/2014/chart" uri="{C3380CC4-5D6E-409C-BE32-E72D297353CC}">
              <c16:uniqueId val="{00000000-3E21-4D9A-863E-767C6FE89076}"/>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11.349805155454892</c:v>
                </c:pt>
                <c:pt idx="1">
                  <c:v>11.3435484176857</c:v>
                </c:pt>
                <c:pt idx="2">
                  <c:v>10.146703925568268</c:v>
                </c:pt>
                <c:pt idx="3">
                  <c:v>8.4815598991873085</c:v>
                </c:pt>
                <c:pt idx="4">
                  <c:v>7.9244598925746823</c:v>
                </c:pt>
              </c:numCache>
            </c:numRef>
          </c:val>
          <c:extLst>
            <c:ext xmlns:c16="http://schemas.microsoft.com/office/drawing/2014/chart" uri="{C3380CC4-5D6E-409C-BE32-E72D297353CC}">
              <c16:uniqueId val="{00000001-3E21-4D9A-863E-767C6FE89076}"/>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6.9083424251944709</c:v>
                </c:pt>
                <c:pt idx="1">
                  <c:v>6.5105158233146376</c:v>
                </c:pt>
                <c:pt idx="2">
                  <c:v>6.7988783183253423</c:v>
                </c:pt>
                <c:pt idx="3">
                  <c:v>6.9191853530692056</c:v>
                </c:pt>
                <c:pt idx="4">
                  <c:v>7.0652096259230825</c:v>
                </c:pt>
              </c:numCache>
            </c:numRef>
          </c:val>
          <c:extLst>
            <c:ext xmlns:c16="http://schemas.microsoft.com/office/drawing/2014/chart" uri="{C3380CC4-5D6E-409C-BE32-E72D297353CC}">
              <c16:uniqueId val="{00000002-3E21-4D9A-863E-767C6FE89076}"/>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7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50.930889787878577</c:v>
                </c:pt>
                <c:pt idx="1">
                  <c:v>51.317988108832637</c:v>
                </c:pt>
                <c:pt idx="2">
                  <c:v>54.031010288669123</c:v>
                </c:pt>
                <c:pt idx="3">
                  <c:v>57.372464806797716</c:v>
                </c:pt>
                <c:pt idx="4">
                  <c:v>58.851876811853167</c:v>
                </c:pt>
              </c:numCache>
            </c:numRef>
          </c:val>
          <c:extLst>
            <c:ext xmlns:c16="http://schemas.microsoft.com/office/drawing/2014/chart" uri="{C3380CC4-5D6E-409C-BE32-E72D297353CC}">
              <c16:uniqueId val="{00000003-3E21-4D9A-863E-767C6FE89076}"/>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10.902009358736905</c:v>
                </c:pt>
                <c:pt idx="1">
                  <c:v>10.974123062091591</c:v>
                </c:pt>
                <c:pt idx="2">
                  <c:v>10.385189141983247</c:v>
                </c:pt>
                <c:pt idx="3">
                  <c:v>10.771436051908486</c:v>
                </c:pt>
                <c:pt idx="4">
                  <c:v>10.007539226744571</c:v>
                </c:pt>
              </c:numCache>
            </c:numRef>
          </c:val>
          <c:extLst>
            <c:ext xmlns:c16="http://schemas.microsoft.com/office/drawing/2014/chart" uri="{C3380CC4-5D6E-409C-BE32-E72D297353CC}">
              <c16:uniqueId val="{00000004-3E21-4D9A-863E-767C6FE89076}"/>
            </c:ext>
          </c:extLst>
        </c:ser>
        <c:dLbls>
          <c:dLblPos val="ctr"/>
          <c:showLegendKey val="0"/>
          <c:showVal val="1"/>
          <c:showCatName val="0"/>
          <c:showSerName val="0"/>
          <c:showPercent val="0"/>
          <c:showBubbleSize val="0"/>
        </c:dLbls>
        <c:gapWidth val="100"/>
        <c:overlap val="100"/>
        <c:axId val="346070016"/>
        <c:axId val="334771840"/>
      </c:barChart>
      <c:catAx>
        <c:axId val="34607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1840"/>
        <c:crosses val="autoZero"/>
        <c:auto val="1"/>
        <c:lblAlgn val="ctr"/>
        <c:lblOffset val="10"/>
        <c:noMultiLvlLbl val="0"/>
      </c:catAx>
      <c:valAx>
        <c:axId val="334771840"/>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607001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19.299999999999983</c:v>
                </c:pt>
                <c:pt idx="1">
                  <c:v>28.480160472444283</c:v>
                </c:pt>
                <c:pt idx="2">
                  <c:v>29.323247969888541</c:v>
                </c:pt>
                <c:pt idx="3">
                  <c:v>26.068838616538969</c:v>
                </c:pt>
                <c:pt idx="4">
                  <c:v>21.948716004726549</c:v>
                </c:pt>
                <c:pt idx="5">
                  <c:v>18.146965392900412</c:v>
                </c:pt>
                <c:pt idx="6">
                  <c:v>15.700000000000003</c:v>
                </c:pt>
                <c:pt idx="7">
                  <c:v>13.700000000000003</c:v>
                </c:pt>
                <c:pt idx="8">
                  <c:v>12.599999999999994</c:v>
                </c:pt>
                <c:pt idx="9">
                  <c:v>11.700000000000003</c:v>
                </c:pt>
                <c:pt idx="10">
                  <c:v>7.5999999999999943</c:v>
                </c:pt>
                <c:pt idx="11">
                  <c:v>4.7000000000000028</c:v>
                </c:pt>
              </c:numCache>
            </c:numRef>
          </c:val>
          <c:extLst>
            <c:ext xmlns:c16="http://schemas.microsoft.com/office/drawing/2014/chart" uri="{C3380CC4-5D6E-409C-BE32-E72D297353CC}">
              <c16:uniqueId val="{00000000-7A01-432A-B0AA-4DB3D655336C}"/>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3.7000000000000028</c:v>
                </c:pt>
                <c:pt idx="5" formatCode="0.0">
                  <c:v>4</c:v>
                </c:pt>
                <c:pt idx="8" formatCode="0.0">
                  <c:v>1.7999999999999972</c:v>
                </c:pt>
                <c:pt idx="11" formatCode="0.0">
                  <c:v>1.5999999999999943</c:v>
                </c:pt>
              </c:numCache>
            </c:numRef>
          </c:val>
          <c:extLst>
            <c:ext xmlns:c16="http://schemas.microsoft.com/office/drawing/2014/chart" uri="{C3380CC4-5D6E-409C-BE32-E72D297353CC}">
              <c16:uniqueId val="{00000001-7A01-432A-B0AA-4DB3D655336C}"/>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9.5</c:v>
                </c:pt>
                <c:pt idx="1">
                  <c:v>10.799999999999997</c:v>
                </c:pt>
                <c:pt idx="2">
                  <c:v>11.700000000000003</c:v>
                </c:pt>
                <c:pt idx="3">
                  <c:v>13.700000000000003</c:v>
                </c:pt>
                <c:pt idx="4">
                  <c:v>14.900000000000006</c:v>
                </c:pt>
                <c:pt idx="5">
                  <c:v>15.700000000000003</c:v>
                </c:pt>
                <c:pt idx="6">
                  <c:v>16.099999999999994</c:v>
                </c:pt>
                <c:pt idx="7">
                  <c:v>16.200000000000003</c:v>
                </c:pt>
                <c:pt idx="8">
                  <c:v>15.900000000000006</c:v>
                </c:pt>
                <c:pt idx="9">
                  <c:v>15.5</c:v>
                </c:pt>
                <c:pt idx="10">
                  <c:v>14.900000000000006</c:v>
                </c:pt>
                <c:pt idx="11">
                  <c:v>14.5</c:v>
                </c:pt>
              </c:numCache>
            </c:numRef>
          </c:val>
          <c:extLst>
            <c:ext xmlns:c16="http://schemas.microsoft.com/office/drawing/2014/chart" uri="{C3380CC4-5D6E-409C-BE32-E72D297353CC}">
              <c16:uniqueId val="{00000002-7A01-432A-B0AA-4DB3D655336C}"/>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7.2999999999999972</c:v>
                </c:pt>
                <c:pt idx="1">
                  <c:v>7.8939938153471445</c:v>
                </c:pt>
                <c:pt idx="2">
                  <c:v>7.1262249352085831</c:v>
                </c:pt>
                <c:pt idx="3">
                  <c:v>7.5245254772030989</c:v>
                </c:pt>
                <c:pt idx="4">
                  <c:v>7.4338438401302653</c:v>
                </c:pt>
                <c:pt idx="5">
                  <c:v>7.9261111562522615</c:v>
                </c:pt>
                <c:pt idx="6">
                  <c:v>8.0137695249374588</c:v>
                </c:pt>
                <c:pt idx="7">
                  <c:v>8.7529390387043975</c:v>
                </c:pt>
                <c:pt idx="8">
                  <c:v>9.4802428899326401</c:v>
                </c:pt>
                <c:pt idx="9">
                  <c:v>9.3961292458456711</c:v>
                </c:pt>
                <c:pt idx="10">
                  <c:v>9.6692947887344616</c:v>
                </c:pt>
                <c:pt idx="11">
                  <c:v>10.599999999999994</c:v>
                </c:pt>
              </c:numCache>
            </c:numRef>
          </c:val>
          <c:extLst>
            <c:ext xmlns:c16="http://schemas.microsoft.com/office/drawing/2014/chart" uri="{C3380CC4-5D6E-409C-BE32-E72D297353CC}">
              <c16:uniqueId val="{00000003-7A01-432A-B0AA-4DB3D655336C}"/>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19.299999999999997</c:v>
                </c:pt>
                <c:pt idx="1">
                  <c:v>24.099999999999994</c:v>
                </c:pt>
                <c:pt idx="2">
                  <c:v>26.5</c:v>
                </c:pt>
                <c:pt idx="3">
                  <c:v>26.700000000000003</c:v>
                </c:pt>
                <c:pt idx="4">
                  <c:v>24.599999999999994</c:v>
                </c:pt>
                <c:pt idx="5">
                  <c:v>22.900000000000006</c:v>
                </c:pt>
                <c:pt idx="6">
                  <c:v>21.400000000000006</c:v>
                </c:pt>
                <c:pt idx="7">
                  <c:v>20.400000000000006</c:v>
                </c:pt>
                <c:pt idx="8">
                  <c:v>19.5</c:v>
                </c:pt>
                <c:pt idx="9">
                  <c:v>18.799999999999997</c:v>
                </c:pt>
                <c:pt idx="10">
                  <c:v>18</c:v>
                </c:pt>
                <c:pt idx="11">
                  <c:v>17</c:v>
                </c:pt>
              </c:numCache>
            </c:numRef>
          </c:val>
          <c:extLst>
            <c:ext xmlns:c16="http://schemas.microsoft.com/office/drawing/2014/chart" uri="{C3380CC4-5D6E-409C-BE32-E72D297353CC}">
              <c16:uniqueId val="{00000004-7A01-432A-B0AA-4DB3D655336C}"/>
            </c:ext>
          </c:extLst>
        </c:ser>
        <c:dLbls>
          <c:showLegendKey val="0"/>
          <c:showVal val="0"/>
          <c:showCatName val="0"/>
          <c:showSerName val="0"/>
          <c:showPercent val="0"/>
          <c:showBubbleSize val="0"/>
        </c:dLbls>
        <c:gapWidth val="80"/>
        <c:overlap val="16"/>
        <c:axId val="424298496"/>
        <c:axId val="339945728"/>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7.0196214076638674E-2"/>
                  <c:y val="-4.5243814427437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A01-432A-B0AA-4DB3D655336C}"/>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A01-432A-B0AA-4DB3D655336C}"/>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A01-432A-B0AA-4DB3D655336C}"/>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A01-432A-B0AA-4DB3D655336C}"/>
                </c:ext>
              </c:extLst>
            </c:dLbl>
            <c:dLbl>
              <c:idx val="4"/>
              <c:layout>
                <c:manualLayout>
                  <c:x val="-6.1848713171110556E-2"/>
                  <c:y val="-4.991544319613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A01-432A-B0AA-4DB3D655336C}"/>
                </c:ext>
              </c:extLst>
            </c:dLbl>
            <c:dLbl>
              <c:idx val="5"/>
              <c:layout>
                <c:manualLayout>
                  <c:x val="-6.2163282221301283E-2"/>
                  <c:y val="-5.1372297683035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A01-432A-B0AA-4DB3D655336C}"/>
                </c:ext>
              </c:extLst>
            </c:dLbl>
            <c:dLbl>
              <c:idx val="6"/>
              <c:layout>
                <c:manualLayout>
                  <c:x val="-6.2163282221301283E-2"/>
                  <c:y val="-4.5696758835378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A01-432A-B0AA-4DB3D655336C}"/>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A01-432A-B0AA-4DB3D655336C}"/>
                </c:ext>
              </c:extLst>
            </c:dLbl>
            <c:dLbl>
              <c:idx val="8"/>
              <c:layout>
                <c:manualLayout>
                  <c:x val="-6.2163282221301283E-2"/>
                  <c:y val="-4.5696758835378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A01-432A-B0AA-4DB3D655336C}"/>
                </c:ext>
              </c:extLst>
            </c:dLbl>
            <c:dLbl>
              <c:idx val="9"/>
              <c:layout>
                <c:manualLayout>
                  <c:x val="-6.6307501036054858E-2"/>
                  <c:y val="-4.5144716007626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A01-432A-B0AA-4DB3D655336C}"/>
                </c:ext>
              </c:extLst>
            </c:dLbl>
            <c:dLbl>
              <c:idx val="10"/>
              <c:layout>
                <c:manualLayout>
                  <c:x val="-6.2163282221301436E-2"/>
                  <c:y val="-4.1039671682626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A01-432A-B0AA-4DB3D655336C}"/>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A01-432A-B0AA-4DB3D655336C}"/>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11.400000000000006</c:v>
                </c:pt>
                <c:pt idx="1">
                  <c:v>14.379305764546984</c:v>
                </c:pt>
                <c:pt idx="2">
                  <c:v>14.678616459182663</c:v>
                </c:pt>
                <c:pt idx="3">
                  <c:v>14.215686877586521</c:v>
                </c:pt>
                <c:pt idx="4">
                  <c:v>12.485744619287416</c:v>
                </c:pt>
                <c:pt idx="5">
                  <c:v>11.593551644497822</c:v>
                </c:pt>
                <c:pt idx="6">
                  <c:v>10.826458311663842</c:v>
                </c:pt>
                <c:pt idx="7">
                  <c:v>10.125306635366968</c:v>
                </c:pt>
                <c:pt idx="8">
                  <c:v>9.8074080455975263</c:v>
                </c:pt>
                <c:pt idx="9">
                  <c:v>9.2904063225118989</c:v>
                </c:pt>
                <c:pt idx="10">
                  <c:v>8.415132350940226</c:v>
                </c:pt>
                <c:pt idx="11">
                  <c:v>8</c:v>
                </c:pt>
              </c:numCache>
            </c:numRef>
          </c:val>
          <c:smooth val="0"/>
          <c:extLst>
            <c:ext xmlns:c16="http://schemas.microsoft.com/office/drawing/2014/chart" uri="{C3380CC4-5D6E-409C-BE32-E72D297353CC}">
              <c16:uniqueId val="{00000011-7A01-432A-B0AA-4DB3D655336C}"/>
            </c:ext>
          </c:extLst>
        </c:ser>
        <c:dLbls>
          <c:showLegendKey val="0"/>
          <c:showVal val="0"/>
          <c:showCatName val="0"/>
          <c:showSerName val="0"/>
          <c:showPercent val="0"/>
          <c:showBubbleSize val="0"/>
        </c:dLbls>
        <c:marker val="1"/>
        <c:smooth val="0"/>
        <c:axId val="427217408"/>
        <c:axId val="339946304"/>
      </c:lineChart>
      <c:catAx>
        <c:axId val="4242984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39945728"/>
        <c:crosses val="autoZero"/>
        <c:auto val="1"/>
        <c:lblAlgn val="ctr"/>
        <c:lblOffset val="100"/>
        <c:noMultiLvlLbl val="0"/>
      </c:catAx>
      <c:valAx>
        <c:axId val="339945728"/>
        <c:scaling>
          <c:orientation val="minMax"/>
          <c:max val="30"/>
          <c:min val="-3"/>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424298496"/>
        <c:crosses val="autoZero"/>
        <c:crossBetween val="between"/>
        <c:majorUnit val="6"/>
      </c:valAx>
      <c:valAx>
        <c:axId val="339946304"/>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27217408"/>
        <c:crosses val="max"/>
        <c:crossBetween val="between"/>
        <c:majorUnit val="2.5"/>
      </c:valAx>
      <c:catAx>
        <c:axId val="427217408"/>
        <c:scaling>
          <c:orientation val="minMax"/>
        </c:scaling>
        <c:delete val="1"/>
        <c:axPos val="b"/>
        <c:numFmt formatCode="General" sourceLinked="1"/>
        <c:majorTickMark val="out"/>
        <c:minorTickMark val="none"/>
        <c:tickLblPos val="none"/>
        <c:crossAx val="33994630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7935657564970559"/>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4A06E-9682-4DE3-B782-6EABCC77CC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TotalTime>
  <Pages>23</Pages>
  <Words>5820</Words>
  <Characters>33176</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38919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Gayane Zargaryan</cp:lastModifiedBy>
  <cp:revision>39</cp:revision>
  <cp:lastPrinted>2023-04-10T12:07:00Z</cp:lastPrinted>
  <dcterms:created xsi:type="dcterms:W3CDTF">2025-04-09T10:59:00Z</dcterms:created>
  <dcterms:modified xsi:type="dcterms:W3CDTF">2025-06-30T09:19:00Z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f60faef533a742f60f8302e7ad3703680437d24b7a5222c50f5626b87ec935f2</vt:lpwstr>
  </property>
</Properties>
</file>